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F66E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宋体" w:hAnsi="宋体" w:eastAsia="宋体" w:cs="宋体"/>
          <w:b/>
          <w:bCs w:val="0"/>
          <w:snapToGrid/>
          <w:color w:val="000000"/>
          <w:kern w:val="2"/>
          <w:sz w:val="36"/>
          <w:szCs w:val="36"/>
          <w:lang w:val="en-US" w:eastAsia="zh-CN" w:bidi="ar-SA"/>
        </w:rPr>
      </w:pPr>
      <w:r>
        <w:rPr>
          <w:rFonts w:hint="eastAsia" w:ascii="宋体" w:hAnsi="宋体" w:eastAsia="宋体" w:cs="宋体"/>
          <w:b/>
          <w:bCs w:val="0"/>
          <w:snapToGrid/>
          <w:color w:val="000000"/>
          <w:kern w:val="2"/>
          <w:sz w:val="36"/>
          <w:szCs w:val="36"/>
          <w:lang w:val="en-US" w:eastAsia="zh-CN" w:bidi="ar-SA"/>
        </w:rPr>
        <w:t>阜阳职业技术学院学分制管理办法</w:t>
      </w:r>
    </w:p>
    <w:p w14:paraId="00B4245D">
      <w:pPr>
        <w:keepNext w:val="0"/>
        <w:keepLines w:val="0"/>
        <w:pageBreakBefore w:val="0"/>
        <w:widowControl w:val="0"/>
        <w:kinsoku/>
        <w:wordWrap/>
        <w:overflowPunct/>
        <w:topLinePunct w:val="0"/>
        <w:autoSpaceDE/>
        <w:autoSpaceDN/>
        <w:bidi w:val="0"/>
        <w:adjustRightInd/>
        <w:snapToGrid/>
        <w:spacing w:line="620" w:lineRule="exact"/>
        <w:ind w:left="0" w:leftChars="0" w:firstLine="0" w:firstLineChars="0"/>
        <w:jc w:val="center"/>
        <w:textAlignment w:val="auto"/>
        <w:outlineLvl w:val="0"/>
        <w:rPr>
          <w:rFonts w:hint="eastAsia" w:ascii="宋体" w:hAnsi="宋体" w:eastAsia="宋体" w:cs="宋体"/>
          <w:b/>
          <w:bCs w:val="0"/>
          <w:snapToGrid/>
          <w:color w:val="000000"/>
          <w:kern w:val="2"/>
          <w:sz w:val="10"/>
          <w:szCs w:val="10"/>
          <w:lang w:val="en-US" w:eastAsia="zh-CN" w:bidi="ar-SA"/>
        </w:rPr>
      </w:pPr>
      <w:r>
        <w:rPr>
          <w:rFonts w:hint="eastAsia" w:ascii="宋体" w:hAnsi="宋体" w:eastAsia="宋体" w:cs="宋体"/>
          <w:b/>
          <w:bCs w:val="0"/>
          <w:snapToGrid/>
          <w:color w:val="000000"/>
          <w:kern w:val="2"/>
          <w:sz w:val="32"/>
          <w:szCs w:val="32"/>
          <w:lang w:val="en-US" w:eastAsia="zh-CN" w:bidi="ar-SA"/>
        </w:rPr>
        <w:t>（2023年修订）</w:t>
      </w:r>
    </w:p>
    <w:p w14:paraId="1DB08061">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第一章  总 则</w:t>
      </w:r>
    </w:p>
    <w:p w14:paraId="6B132B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第一条</w:t>
      </w:r>
      <w:r>
        <w:rPr>
          <w:rFonts w:hint="eastAsia" w:ascii="宋体" w:hAnsi="宋体" w:eastAsia="宋体" w:cs="宋体"/>
          <w:color w:val="000000"/>
          <w:kern w:val="2"/>
          <w:sz w:val="24"/>
          <w:szCs w:val="24"/>
          <w:lang w:val="en-US" w:eastAsia="zh-CN" w:bidi="ar-SA"/>
        </w:rPr>
        <w:t xml:space="preserve">  为了深化教育教学改革，全面推进素质教育，促进学生自主发展，培养具有就业竞争力的高素质技术技能型人才，根据《&lt;普通高等学校学生管理规定（教育部第41号令）&gt;阜阳职业技术学院实施细则》，结合实际情况，制定本办法。</w:t>
      </w:r>
    </w:p>
    <w:p w14:paraId="0494B4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第二条</w:t>
      </w:r>
      <w:r>
        <w:rPr>
          <w:rFonts w:hint="eastAsia" w:ascii="宋体" w:hAnsi="宋体" w:eastAsia="宋体" w:cs="宋体"/>
          <w:color w:val="000000"/>
          <w:kern w:val="2"/>
          <w:sz w:val="24"/>
          <w:szCs w:val="24"/>
          <w:lang w:val="en-US" w:eastAsia="zh-CN" w:bidi="ar-SA"/>
        </w:rPr>
        <w:t xml:space="preserve">  学分制改革的总体目标：构建符合现代高职教育规律和我校发展实际的教学管理制度，充分利用教育资源，全面提高教育教学质量。</w:t>
      </w:r>
    </w:p>
    <w:p w14:paraId="3DB875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第三条</w:t>
      </w:r>
      <w:r>
        <w:rPr>
          <w:rFonts w:hint="eastAsia" w:ascii="宋体" w:hAnsi="宋体" w:eastAsia="宋体" w:cs="宋体"/>
          <w:color w:val="000000"/>
          <w:kern w:val="2"/>
          <w:sz w:val="24"/>
          <w:szCs w:val="24"/>
          <w:lang w:val="en-US" w:eastAsia="zh-CN" w:bidi="ar-SA"/>
        </w:rPr>
        <w:t xml:space="preserve">  学分制是以选课为前提，以学分作为学习计量单位，用学分绩点衡量学习质量的教学管理制度。</w:t>
      </w:r>
    </w:p>
    <w:p w14:paraId="20815D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i w:val="0"/>
          <w:iCs w:val="0"/>
          <w:caps w:val="0"/>
          <w:snapToGrid/>
          <w:color w:val="auto"/>
          <w:spacing w:val="0"/>
          <w:sz w:val="24"/>
          <w:szCs w:val="24"/>
          <w:shd w:val="clear" w:color="auto" w:fill="FFFFFF"/>
          <w:lang w:val="en-US" w:eastAsia="zh-CN"/>
        </w:rPr>
      </w:pPr>
      <w:r>
        <w:rPr>
          <w:rFonts w:hint="eastAsia" w:ascii="宋体" w:hAnsi="宋体" w:eastAsia="宋体" w:cs="宋体"/>
          <w:b/>
          <w:bCs/>
          <w:color w:val="000000"/>
          <w:kern w:val="0"/>
          <w:sz w:val="24"/>
          <w:szCs w:val="24"/>
          <w:highlight w:val="none"/>
          <w:lang w:val="en-US" w:eastAsia="zh-CN" w:bidi="ar-SA"/>
        </w:rPr>
        <w:t>第四条</w:t>
      </w:r>
      <w:r>
        <w:rPr>
          <w:rFonts w:hint="eastAsia" w:ascii="宋体" w:hAnsi="宋体" w:eastAsia="宋体" w:cs="宋体"/>
          <w:color w:val="000000"/>
          <w:kern w:val="2"/>
          <w:sz w:val="24"/>
          <w:szCs w:val="24"/>
          <w:lang w:val="en-US" w:eastAsia="zh-CN" w:bidi="ar-SA"/>
        </w:rPr>
        <w:t xml:space="preserve">  本办法适用于三年制普通高职和对口高职学生。</w:t>
      </w:r>
    </w:p>
    <w:p w14:paraId="625FD35D">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第二章  修业年限</w:t>
      </w:r>
    </w:p>
    <w:p w14:paraId="136EE9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spacing w:val="-6"/>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第五条</w:t>
      </w:r>
      <w:r>
        <w:rPr>
          <w:rFonts w:hint="eastAsia" w:ascii="宋体" w:hAnsi="宋体" w:eastAsia="宋体" w:cs="宋体"/>
          <w:color w:val="000000"/>
          <w:kern w:val="2"/>
          <w:sz w:val="24"/>
          <w:szCs w:val="24"/>
          <w:lang w:val="en-US" w:eastAsia="zh-CN" w:bidi="ar-SA"/>
        </w:rPr>
        <w:t xml:space="preserve">  </w:t>
      </w:r>
      <w:r>
        <w:rPr>
          <w:rFonts w:hint="eastAsia" w:ascii="宋体" w:hAnsi="宋体" w:eastAsia="宋体" w:cs="宋体"/>
          <w:color w:val="000000"/>
          <w:spacing w:val="-6"/>
          <w:kern w:val="2"/>
          <w:sz w:val="24"/>
          <w:szCs w:val="24"/>
          <w:lang w:val="en-US" w:eastAsia="zh-CN" w:bidi="ar-SA"/>
        </w:rPr>
        <w:t>弹性学制。允许学生提前或延迟毕业，具体按以下条款施行：</w:t>
      </w:r>
    </w:p>
    <w:p w14:paraId="6E9250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（一）基本学制为三年，学生在校修读时间（不含休学时间）最短为2年，最长为5年。</w:t>
      </w:r>
    </w:p>
    <w:p w14:paraId="790D65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（二）学生在基本学制年限内提前修满专业人才培养方案规定的总学分及必修课、选修课学分，符合毕业条件的学生可先工作，待基本学制期满时返校办理毕业手续。</w:t>
      </w:r>
    </w:p>
    <w:p w14:paraId="7CA390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（三）学生在基本学制年限内未获得毕业所需学分可申请结业证（终止学籍），不申请结业者可留校重修相应课程。</w:t>
      </w:r>
    </w:p>
    <w:p w14:paraId="09B497D2">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b/>
          <w:bCs/>
          <w:color w:val="000000"/>
          <w:kern w:val="0"/>
          <w:sz w:val="24"/>
          <w:szCs w:val="24"/>
          <w:highlight w:val="none"/>
          <w:lang w:val="en-US" w:eastAsia="zh-CN" w:bidi="ar-SA"/>
        </w:rPr>
        <w:t>第六条</w:t>
      </w:r>
      <w:r>
        <w:rPr>
          <w:rFonts w:hint="eastAsia" w:ascii="宋体" w:hAnsi="宋体" w:eastAsia="宋体" w:cs="宋体"/>
          <w:color w:val="000000"/>
          <w:kern w:val="2"/>
          <w:sz w:val="24"/>
          <w:szCs w:val="24"/>
          <w:lang w:val="en-US" w:eastAsia="zh-CN" w:bidi="ar-SA"/>
        </w:rPr>
        <w:t xml:space="preserve">  半工半读。由学生提出申请，可以边工作边学习。有创业意愿的学生提出申请，经教学单位审核教务处批准可以实行间修，允许中断学业保留学籍，其修业年限可在基本学制的基础上延长2-3年。</w:t>
      </w:r>
    </w:p>
    <w:p w14:paraId="22AC8B90">
      <w:pPr>
        <w:keepNext w:val="0"/>
        <w:keepLines w:val="0"/>
        <w:pageBreakBefore w:val="0"/>
        <w:widowControl w:val="0"/>
        <w:kinsoku/>
        <w:wordWrap/>
        <w:overflowPunct/>
        <w:topLinePunct w:val="0"/>
        <w:autoSpaceDE/>
        <w:autoSpaceDN/>
        <w:bidi w:val="0"/>
        <w:adjustRightInd/>
        <w:snapToGrid/>
        <w:spacing w:before="156" w:beforeLines="50" w:after="156" w:afterLines="50" w:line="62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第三章  课程修读</w:t>
      </w:r>
    </w:p>
    <w:p w14:paraId="2E3E85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第七条</w:t>
      </w:r>
      <w:r>
        <w:rPr>
          <w:rFonts w:hint="eastAsia" w:ascii="宋体" w:hAnsi="宋体" w:eastAsia="宋体" w:cs="宋体"/>
          <w:color w:val="000000"/>
          <w:kern w:val="2"/>
          <w:sz w:val="24"/>
          <w:szCs w:val="24"/>
          <w:lang w:val="en-US" w:eastAsia="zh-CN" w:bidi="ar-SA"/>
        </w:rPr>
        <w:t xml:space="preserve">  课程设置分为必修课和选修课两大类：</w:t>
      </w:r>
    </w:p>
    <w:p w14:paraId="63DDEA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（一）必修课是指根据专业培养目标和毕业生培养规格，要求学生必须掌握的基本理论、基本知识和基本技能。包括：基本素养类课程和职业能力类课程。</w:t>
      </w:r>
    </w:p>
    <w:p w14:paraId="292EF7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（二）选修课是指为扩大学生知识面，培养、发展学生兴趣特长和潜能，提高综合素质，由学生根据实际情况，自行选择修读的课程。包括：专业选修和公共选修课程。</w:t>
      </w:r>
    </w:p>
    <w:p w14:paraId="57307D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第八条</w:t>
      </w:r>
      <w:r>
        <w:rPr>
          <w:rFonts w:hint="eastAsia" w:ascii="宋体" w:hAnsi="宋体" w:eastAsia="宋体" w:cs="宋体"/>
          <w:color w:val="000000"/>
          <w:kern w:val="2"/>
          <w:sz w:val="24"/>
          <w:szCs w:val="24"/>
          <w:lang w:val="en-US" w:eastAsia="zh-CN" w:bidi="ar-SA"/>
        </w:rPr>
        <w:t xml:space="preserve">  实行选课制，学生自主选择课程，自主选择学习进程：</w:t>
      </w:r>
    </w:p>
    <w:p w14:paraId="603FD1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（一）学生根据专业人才培养方案的要求及自己的兴趣、志向和条件，自主决定每学期修读的课程。</w:t>
      </w:r>
    </w:p>
    <w:p w14:paraId="6BE8B1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选课遵循“必修优先”和“先修后续”的原则。一学期同时开必修课和选修课的，先选必修课，后选选修课。课程如有先修后续的关系，学生必须在修读了先修课程后，才可修读其后续课程；如果学生修读完先修课程后，未能获得该课程的学分，允许学生选修其后续课程，但必须重修先修课程。</w:t>
      </w:r>
    </w:p>
    <w:p w14:paraId="25D992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选修课学分不能替代必修课学分。每学期修读的课程和学分一经选定，原则上不得更改。</w:t>
      </w:r>
    </w:p>
    <w:p w14:paraId="0FB593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（二）学生可适当变动教学计划进程安排，根据一定选课顺序和自己的能力自主决定学习进程，在每学期规定修读的20－40学分范围内多修、少修、免修某些课程。</w:t>
      </w:r>
    </w:p>
    <w:p w14:paraId="198A0B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第九条</w:t>
      </w:r>
      <w:r>
        <w:rPr>
          <w:rFonts w:hint="eastAsia" w:ascii="宋体" w:hAnsi="宋体" w:eastAsia="宋体" w:cs="宋体"/>
          <w:color w:val="000000"/>
          <w:kern w:val="2"/>
          <w:sz w:val="24"/>
          <w:szCs w:val="24"/>
          <w:lang w:val="en-US" w:eastAsia="zh-CN" w:bidi="ar-SA"/>
        </w:rPr>
        <w:t xml:space="preserve">  规范选课程序，建立课程介绍体系：</w:t>
      </w:r>
    </w:p>
    <w:p w14:paraId="5FCAA0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教务处在每学期结束前4－6周在校园网公布下学期各年级、各专业开课计划及课程学分数。学生根据课程开设计划和自己的兴趣爱好，进行网上选课。教务处公布学生选课情况，选课结果公布后，学生不得改选课程。</w:t>
      </w:r>
    </w:p>
    <w:p w14:paraId="444E83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各教学单位要向学生公布专业人才培养方案，介绍专业定位、培养目标、课程设置及选课流程，并于每学期第10周在校园网上介绍各专业所开课程的主要教学内容、先行后续课程、修读对象、任课教师、使用教材等。任课教师要向学生介绍本课程教学内容、教学参考资料、成绩考核办法等，为学生提供选课信息。</w:t>
      </w:r>
    </w:p>
    <w:p w14:paraId="6E7E4A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第十条</w:t>
      </w:r>
      <w:r>
        <w:rPr>
          <w:rFonts w:hint="eastAsia" w:ascii="宋体" w:hAnsi="宋体" w:eastAsia="宋体" w:cs="宋体"/>
          <w:color w:val="000000"/>
          <w:kern w:val="2"/>
          <w:sz w:val="24"/>
          <w:szCs w:val="24"/>
          <w:lang w:val="en-US" w:eastAsia="zh-CN" w:bidi="ar-SA"/>
        </w:rPr>
        <w:t xml:space="preserve">  选修课安排及管理：</w:t>
      </w:r>
    </w:p>
    <w:p w14:paraId="04EB5A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每学期开设的专业和公共选修课程，由教务处会同各教学单位安排确定。学生应根据自己所选课程，按教务处及教学单位安排的时间，到指定地点参加学习，完成作业并参加考核，总评成绩合格者，获得相应课程的学分。</w:t>
      </w:r>
    </w:p>
    <w:p w14:paraId="6927D1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（二）因故不能参加学习者，必须向任课教师办理请假手续。缺课时数超过课程总学时三分之一者，不能取得该课程学分。</w:t>
      </w:r>
    </w:p>
    <w:p w14:paraId="468603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color w:val="000000"/>
          <w:kern w:val="2"/>
          <w:sz w:val="32"/>
          <w:szCs w:val="32"/>
          <w:lang w:val="en-US" w:eastAsia="zh-CN" w:bidi="ar-SA"/>
        </w:rPr>
      </w:pPr>
      <w:r>
        <w:rPr>
          <w:rFonts w:hint="eastAsia" w:ascii="宋体" w:hAnsi="宋体" w:eastAsia="宋体" w:cs="宋体"/>
          <w:color w:val="000000"/>
          <w:kern w:val="2"/>
          <w:sz w:val="24"/>
          <w:szCs w:val="24"/>
          <w:lang w:val="en-US" w:eastAsia="zh-CN" w:bidi="ar-SA"/>
        </w:rPr>
        <w:t>（三）完成作业量不足本课程所布置作业总量的三分之一者，不能取得该课程的学分。</w:t>
      </w:r>
    </w:p>
    <w:p w14:paraId="63A47D0F">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第四章  学分计算和学分取得</w:t>
      </w:r>
    </w:p>
    <w:p w14:paraId="5C8FAE35">
      <w:pPr>
        <w:keepNext w:val="0"/>
        <w:keepLines w:val="0"/>
        <w:pageBreakBefore w:val="0"/>
        <w:widowControl w:val="0"/>
        <w:kinsoku/>
        <w:wordWrap/>
        <w:overflowPunct/>
        <w:topLinePunct w:val="0"/>
        <w:autoSpaceDE/>
        <w:autoSpaceDN/>
        <w:bidi w:val="0"/>
        <w:adjustRightInd/>
        <w:snapToGrid/>
        <w:spacing w:line="380" w:lineRule="exact"/>
        <w:ind w:left="0" w:leftChars="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第十一条</w:t>
      </w:r>
      <w:r>
        <w:rPr>
          <w:rFonts w:hint="eastAsia" w:ascii="宋体" w:hAnsi="宋体" w:eastAsia="宋体" w:cs="宋体"/>
          <w:color w:val="000000"/>
          <w:kern w:val="2"/>
          <w:sz w:val="24"/>
          <w:szCs w:val="24"/>
          <w:lang w:val="en-US" w:eastAsia="zh-CN" w:bidi="ar-SA"/>
        </w:rPr>
        <w:t xml:space="preserve">  学分结构。学分制由学分和学分绩点两部分组成。</w:t>
      </w:r>
    </w:p>
    <w:p w14:paraId="2C8CB19E">
      <w:pPr>
        <w:keepNext w:val="0"/>
        <w:keepLines w:val="0"/>
        <w:pageBreakBefore w:val="0"/>
        <w:widowControl w:val="0"/>
        <w:kinsoku/>
        <w:wordWrap/>
        <w:overflowPunct/>
        <w:topLinePunct w:val="0"/>
        <w:autoSpaceDE/>
        <w:autoSpaceDN/>
        <w:bidi w:val="0"/>
        <w:adjustRightInd/>
        <w:snapToGrid/>
        <w:spacing w:line="380" w:lineRule="exact"/>
        <w:ind w:left="0" w:leftChars="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第十二条</w:t>
      </w:r>
      <w:r>
        <w:rPr>
          <w:rFonts w:hint="eastAsia" w:ascii="宋体" w:hAnsi="宋体" w:eastAsia="宋体" w:cs="宋体"/>
          <w:color w:val="000000"/>
          <w:sz w:val="24"/>
          <w:szCs w:val="24"/>
          <w:lang w:val="en-US" w:eastAsia="zh-CN"/>
        </w:rPr>
        <w:t xml:space="preserve">  学分计算。学分设定标准以课程学时数（或周数）为主要依据。理论与实践一体化课程和课外教育课程，每18学时计1学分；综合实践课程，包括入学教育、职业见习、模拟实习、专业实习、毕业实习、课题设计、毕业（设计）论文、集中实训、岗位实践等每周计1学分。</w:t>
      </w:r>
    </w:p>
    <w:p w14:paraId="46E709DD">
      <w:pPr>
        <w:keepNext w:val="0"/>
        <w:keepLines w:val="0"/>
        <w:pageBreakBefore w:val="0"/>
        <w:widowControl w:val="0"/>
        <w:kinsoku/>
        <w:wordWrap/>
        <w:overflowPunct/>
        <w:topLinePunct w:val="0"/>
        <w:autoSpaceDE/>
        <w:autoSpaceDN/>
        <w:bidi w:val="0"/>
        <w:adjustRightInd/>
        <w:snapToGrid/>
        <w:spacing w:line="380" w:lineRule="exact"/>
        <w:ind w:left="0" w:leftChars="0" w:right="0" w:firstLine="482"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b/>
          <w:bCs/>
          <w:color w:val="000000"/>
          <w:kern w:val="0"/>
          <w:sz w:val="24"/>
          <w:szCs w:val="24"/>
          <w:highlight w:val="none"/>
          <w:lang w:val="en-US" w:eastAsia="zh-CN" w:bidi="ar-SA"/>
        </w:rPr>
        <w:t>第十三条</w:t>
      </w:r>
      <w:r>
        <w:rPr>
          <w:rFonts w:hint="eastAsia" w:ascii="宋体" w:hAnsi="宋体" w:eastAsia="宋体" w:cs="宋体"/>
          <w:color w:val="000000"/>
          <w:sz w:val="24"/>
          <w:szCs w:val="24"/>
          <w:lang w:val="en-US" w:eastAsia="zh-CN"/>
        </w:rPr>
        <w:t xml:space="preserve">  学分取得。学分是计算学生学习量的基本单位，也是确定学生能否毕业的重要依据。学分包括课程学分、非课程学分和奖励学分。</w:t>
      </w:r>
    </w:p>
    <w:p w14:paraId="15A026A2">
      <w:pPr>
        <w:keepNext w:val="0"/>
        <w:keepLines w:val="0"/>
        <w:pageBreakBefore w:val="0"/>
        <w:widowControl w:val="0"/>
        <w:kinsoku/>
        <w:wordWrap/>
        <w:overflowPunct/>
        <w:topLinePunct w:val="0"/>
        <w:autoSpaceDE/>
        <w:autoSpaceDN/>
        <w:bidi w:val="0"/>
        <w:adjustRightInd/>
        <w:snapToGrid/>
        <w:spacing w:line="38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（一）课程学分是指专业人才培养方案中确定的必修课和选修课学分。</w:t>
      </w:r>
    </w:p>
    <w:p w14:paraId="30F4E922">
      <w:pPr>
        <w:keepNext w:val="0"/>
        <w:keepLines w:val="0"/>
        <w:pageBreakBefore w:val="0"/>
        <w:widowControl w:val="0"/>
        <w:kinsoku/>
        <w:wordWrap/>
        <w:overflowPunct/>
        <w:topLinePunct w:val="0"/>
        <w:autoSpaceDE/>
        <w:autoSpaceDN/>
        <w:bidi w:val="0"/>
        <w:adjustRightInd/>
        <w:snapToGrid/>
        <w:spacing w:line="38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理论与实践一体化课程和课外教育课程学分。学生必须按规定参加各类课程的学习，取得考核资格，考核评价成绩达到60分或及格以上者，经教务处审查确认后即获得该门课程学分；经批准缓考的课程考试成绩以实际成绩计入，并取得相应学分。</w:t>
      </w:r>
    </w:p>
    <w:p w14:paraId="1EAE1DF1">
      <w:pPr>
        <w:keepNext w:val="0"/>
        <w:keepLines w:val="0"/>
        <w:pageBreakBefore w:val="0"/>
        <w:widowControl w:val="0"/>
        <w:kinsoku/>
        <w:wordWrap/>
        <w:overflowPunct/>
        <w:topLinePunct w:val="0"/>
        <w:autoSpaceDE/>
        <w:autoSpaceDN/>
        <w:bidi w:val="0"/>
        <w:adjustRightInd/>
        <w:snapToGrid/>
        <w:spacing w:line="38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2.综合实践课程学分。学生出勤达3/4以上，经考核合格方可获得该课程的学分。综合实践教学作为一个完整的学分计算单位，不拆开计分。</w:t>
      </w:r>
    </w:p>
    <w:p w14:paraId="7DF8B167">
      <w:pPr>
        <w:keepNext w:val="0"/>
        <w:keepLines w:val="0"/>
        <w:pageBreakBefore w:val="0"/>
        <w:widowControl w:val="0"/>
        <w:kinsoku/>
        <w:wordWrap/>
        <w:overflowPunct/>
        <w:topLinePunct w:val="0"/>
        <w:autoSpaceDE/>
        <w:autoSpaceDN/>
        <w:bidi w:val="0"/>
        <w:adjustRightInd/>
        <w:snapToGrid/>
        <w:spacing w:line="38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（二）非课程学分的认定参见《阜阳职业技术学院“第二课堂成绩单”制度实施办法》（阜职院青〔2022〕5号）。</w:t>
      </w:r>
    </w:p>
    <w:p w14:paraId="772872AF">
      <w:pPr>
        <w:keepNext w:val="0"/>
        <w:keepLines w:val="0"/>
        <w:pageBreakBefore w:val="0"/>
        <w:widowControl w:val="0"/>
        <w:kinsoku/>
        <w:wordWrap/>
        <w:overflowPunct/>
        <w:topLinePunct w:val="0"/>
        <w:autoSpaceDE/>
        <w:autoSpaceDN/>
        <w:bidi w:val="0"/>
        <w:adjustRightInd/>
        <w:snapToGrid/>
        <w:spacing w:line="380" w:lineRule="exact"/>
        <w:ind w:left="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第十四条</w:t>
      </w:r>
      <w:r>
        <w:rPr>
          <w:rFonts w:hint="eastAsia" w:ascii="宋体" w:hAnsi="宋体" w:eastAsia="宋体" w:cs="宋体"/>
          <w:color w:val="000000"/>
          <w:sz w:val="24"/>
          <w:szCs w:val="24"/>
          <w:lang w:val="en-US" w:eastAsia="zh-CN"/>
        </w:rPr>
        <w:t xml:space="preserve">  课程学分绩点、平均学分绩点的计算：</w:t>
      </w:r>
    </w:p>
    <w:p w14:paraId="301751D2">
      <w:pPr>
        <w:keepNext w:val="0"/>
        <w:keepLines w:val="0"/>
        <w:pageBreakBefore w:val="0"/>
        <w:widowControl w:val="0"/>
        <w:kinsoku/>
        <w:wordWrap/>
        <w:overflowPunct/>
        <w:topLinePunct w:val="0"/>
        <w:autoSpaceDE/>
        <w:autoSpaceDN/>
        <w:bidi w:val="0"/>
        <w:adjustRightInd/>
        <w:snapToGrid/>
        <w:spacing w:line="380" w:lineRule="exact"/>
        <w:ind w:left="0" w:right="0" w:firstLine="480" w:firstLineChars="200"/>
        <w:textAlignment w:val="auto"/>
        <w:rPr>
          <w:rFonts w:hint="eastAsia" w:ascii="宋体" w:hAnsi="宋体" w:eastAsia="宋体" w:cs="宋体"/>
          <w:color w:val="000000"/>
          <w:sz w:val="10"/>
          <w:szCs w:val="10"/>
          <w:lang w:val="en-US" w:eastAsia="zh-CN"/>
        </w:rPr>
      </w:pPr>
      <w:r>
        <w:rPr>
          <w:rFonts w:hint="eastAsia" w:ascii="宋体" w:hAnsi="宋体" w:eastAsia="宋体" w:cs="宋体"/>
          <w:color w:val="000000"/>
          <w:sz w:val="24"/>
          <w:szCs w:val="24"/>
          <w:lang w:val="en-US" w:eastAsia="zh-CN"/>
        </w:rPr>
        <w:t>（一）为了更好地反映学生学习的质和量，根据学生所选课程的学分数及考核成绩综合计算学分绩点。学生考核成绩按如下方法折合成相应的成绩绩点。</w:t>
      </w:r>
    </w:p>
    <w:p w14:paraId="21E22AAA">
      <w:pPr>
        <w:pStyle w:val="4"/>
        <w:rPr>
          <w:rFonts w:hint="eastAsia"/>
          <w:lang w:val="en-US" w:eastAsia="zh-CN"/>
        </w:rPr>
      </w:pPr>
    </w:p>
    <w:tbl>
      <w:tblPr>
        <w:tblStyle w:val="7"/>
        <w:tblW w:w="79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8"/>
        <w:gridCol w:w="907"/>
        <w:gridCol w:w="1343"/>
        <w:gridCol w:w="1313"/>
        <w:gridCol w:w="1156"/>
        <w:gridCol w:w="1281"/>
        <w:gridCol w:w="1257"/>
      </w:tblGrid>
      <w:tr w14:paraId="183A5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698" w:type="dxa"/>
            <w:vMerge w:val="restart"/>
            <w:tcBorders>
              <w:bottom w:val="nil"/>
            </w:tcBorders>
            <w:noWrap w:val="0"/>
            <w:vAlign w:val="center"/>
          </w:tcPr>
          <w:p w14:paraId="0834A8E0">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考核</w:t>
            </w:r>
          </w:p>
          <w:p w14:paraId="7AE9009D">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成绩</w:t>
            </w:r>
          </w:p>
        </w:tc>
        <w:tc>
          <w:tcPr>
            <w:tcW w:w="907" w:type="dxa"/>
            <w:noWrap w:val="0"/>
            <w:vAlign w:val="center"/>
          </w:tcPr>
          <w:p w14:paraId="660928B6">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百分制</w:t>
            </w:r>
          </w:p>
        </w:tc>
        <w:tc>
          <w:tcPr>
            <w:tcW w:w="1343" w:type="dxa"/>
            <w:noWrap w:val="0"/>
            <w:vAlign w:val="center"/>
          </w:tcPr>
          <w:p w14:paraId="306C845E">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90-100 分</w:t>
            </w:r>
          </w:p>
        </w:tc>
        <w:tc>
          <w:tcPr>
            <w:tcW w:w="1313" w:type="dxa"/>
            <w:noWrap w:val="0"/>
            <w:vAlign w:val="center"/>
          </w:tcPr>
          <w:p w14:paraId="4DCB3FBF">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80-89 分</w:t>
            </w:r>
          </w:p>
        </w:tc>
        <w:tc>
          <w:tcPr>
            <w:tcW w:w="1156" w:type="dxa"/>
            <w:noWrap w:val="0"/>
            <w:vAlign w:val="center"/>
          </w:tcPr>
          <w:p w14:paraId="766F8D9F">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70-79 分</w:t>
            </w:r>
          </w:p>
        </w:tc>
        <w:tc>
          <w:tcPr>
            <w:tcW w:w="1281" w:type="dxa"/>
            <w:noWrap w:val="0"/>
            <w:vAlign w:val="center"/>
          </w:tcPr>
          <w:p w14:paraId="5D3C6146">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60-69 分</w:t>
            </w:r>
          </w:p>
        </w:tc>
        <w:tc>
          <w:tcPr>
            <w:tcW w:w="1257" w:type="dxa"/>
            <w:noWrap w:val="0"/>
            <w:vAlign w:val="center"/>
          </w:tcPr>
          <w:p w14:paraId="5E3938DE">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60 分以下</w:t>
            </w:r>
          </w:p>
        </w:tc>
      </w:tr>
      <w:tr w14:paraId="66013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698" w:type="dxa"/>
            <w:vMerge w:val="continue"/>
            <w:tcBorders>
              <w:top w:val="nil"/>
            </w:tcBorders>
            <w:noWrap w:val="0"/>
            <w:vAlign w:val="center"/>
          </w:tcPr>
          <w:p w14:paraId="5E8B04D1">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p>
        </w:tc>
        <w:tc>
          <w:tcPr>
            <w:tcW w:w="907" w:type="dxa"/>
            <w:noWrap w:val="0"/>
            <w:vAlign w:val="center"/>
          </w:tcPr>
          <w:p w14:paraId="3BA2B00C">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等级制</w:t>
            </w:r>
          </w:p>
        </w:tc>
        <w:tc>
          <w:tcPr>
            <w:tcW w:w="1343" w:type="dxa"/>
            <w:noWrap w:val="0"/>
            <w:vAlign w:val="center"/>
          </w:tcPr>
          <w:p w14:paraId="5FECADF5">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优秀</w:t>
            </w:r>
          </w:p>
        </w:tc>
        <w:tc>
          <w:tcPr>
            <w:tcW w:w="1313" w:type="dxa"/>
            <w:noWrap w:val="0"/>
            <w:vAlign w:val="center"/>
          </w:tcPr>
          <w:p w14:paraId="79312F77">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良好</w:t>
            </w:r>
          </w:p>
        </w:tc>
        <w:tc>
          <w:tcPr>
            <w:tcW w:w="1156" w:type="dxa"/>
            <w:noWrap w:val="0"/>
            <w:vAlign w:val="center"/>
          </w:tcPr>
          <w:p w14:paraId="4C4655EC">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中等</w:t>
            </w:r>
          </w:p>
        </w:tc>
        <w:tc>
          <w:tcPr>
            <w:tcW w:w="1281" w:type="dxa"/>
            <w:noWrap w:val="0"/>
            <w:vAlign w:val="center"/>
          </w:tcPr>
          <w:p w14:paraId="6B2CBCEA">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及格</w:t>
            </w:r>
          </w:p>
        </w:tc>
        <w:tc>
          <w:tcPr>
            <w:tcW w:w="1257" w:type="dxa"/>
            <w:noWrap w:val="0"/>
            <w:vAlign w:val="center"/>
          </w:tcPr>
          <w:p w14:paraId="169EF44A">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不及格</w:t>
            </w:r>
          </w:p>
        </w:tc>
      </w:tr>
      <w:tr w14:paraId="2C4D7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698" w:type="dxa"/>
            <w:vMerge w:val="restart"/>
            <w:tcBorders>
              <w:bottom w:val="nil"/>
            </w:tcBorders>
            <w:noWrap w:val="0"/>
            <w:vAlign w:val="center"/>
          </w:tcPr>
          <w:p w14:paraId="529D8FEB">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成绩</w:t>
            </w:r>
          </w:p>
          <w:p w14:paraId="335156AC">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绩点</w:t>
            </w:r>
          </w:p>
        </w:tc>
        <w:tc>
          <w:tcPr>
            <w:tcW w:w="907" w:type="dxa"/>
            <w:noWrap w:val="0"/>
            <w:vAlign w:val="center"/>
          </w:tcPr>
          <w:p w14:paraId="6C48FDAD">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百分制</w:t>
            </w:r>
          </w:p>
        </w:tc>
        <w:tc>
          <w:tcPr>
            <w:tcW w:w="1343" w:type="dxa"/>
            <w:noWrap w:val="0"/>
            <w:vAlign w:val="center"/>
          </w:tcPr>
          <w:p w14:paraId="5C151C59">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4.0-5.0</w:t>
            </w:r>
          </w:p>
        </w:tc>
        <w:tc>
          <w:tcPr>
            <w:tcW w:w="1313" w:type="dxa"/>
            <w:noWrap w:val="0"/>
            <w:vAlign w:val="center"/>
          </w:tcPr>
          <w:p w14:paraId="082C1FB6">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3.0-3.9</w:t>
            </w:r>
          </w:p>
        </w:tc>
        <w:tc>
          <w:tcPr>
            <w:tcW w:w="1156" w:type="dxa"/>
            <w:noWrap w:val="0"/>
            <w:vAlign w:val="center"/>
          </w:tcPr>
          <w:p w14:paraId="19A6EEEF">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2.0-2.9</w:t>
            </w:r>
          </w:p>
        </w:tc>
        <w:tc>
          <w:tcPr>
            <w:tcW w:w="1281" w:type="dxa"/>
            <w:noWrap w:val="0"/>
            <w:vAlign w:val="center"/>
          </w:tcPr>
          <w:p w14:paraId="57133E48">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1.0-1.9</w:t>
            </w:r>
          </w:p>
        </w:tc>
        <w:tc>
          <w:tcPr>
            <w:tcW w:w="1257" w:type="dxa"/>
            <w:noWrap w:val="0"/>
            <w:vAlign w:val="center"/>
          </w:tcPr>
          <w:p w14:paraId="58195893">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0</w:t>
            </w:r>
          </w:p>
        </w:tc>
      </w:tr>
      <w:tr w14:paraId="3BC5E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jc w:val="center"/>
        </w:trPr>
        <w:tc>
          <w:tcPr>
            <w:tcW w:w="698" w:type="dxa"/>
            <w:vMerge w:val="continue"/>
            <w:tcBorders>
              <w:top w:val="nil"/>
            </w:tcBorders>
            <w:noWrap w:val="0"/>
            <w:vAlign w:val="center"/>
          </w:tcPr>
          <w:p w14:paraId="13B060BB">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p>
        </w:tc>
        <w:tc>
          <w:tcPr>
            <w:tcW w:w="907" w:type="dxa"/>
            <w:noWrap w:val="0"/>
            <w:vAlign w:val="center"/>
          </w:tcPr>
          <w:p w14:paraId="30724BED">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等级制</w:t>
            </w:r>
          </w:p>
        </w:tc>
        <w:tc>
          <w:tcPr>
            <w:tcW w:w="1343" w:type="dxa"/>
            <w:noWrap w:val="0"/>
            <w:vAlign w:val="center"/>
          </w:tcPr>
          <w:p w14:paraId="635DDCE0">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4.5</w:t>
            </w:r>
          </w:p>
        </w:tc>
        <w:tc>
          <w:tcPr>
            <w:tcW w:w="1313" w:type="dxa"/>
            <w:noWrap w:val="0"/>
            <w:vAlign w:val="center"/>
          </w:tcPr>
          <w:p w14:paraId="140BB2E3">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3.5</w:t>
            </w:r>
          </w:p>
        </w:tc>
        <w:tc>
          <w:tcPr>
            <w:tcW w:w="1156" w:type="dxa"/>
            <w:noWrap w:val="0"/>
            <w:vAlign w:val="center"/>
          </w:tcPr>
          <w:p w14:paraId="667E22A7">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2.5</w:t>
            </w:r>
          </w:p>
        </w:tc>
        <w:tc>
          <w:tcPr>
            <w:tcW w:w="1281" w:type="dxa"/>
            <w:noWrap w:val="0"/>
            <w:vAlign w:val="center"/>
          </w:tcPr>
          <w:p w14:paraId="66FCDE60">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1.5</w:t>
            </w:r>
          </w:p>
        </w:tc>
        <w:tc>
          <w:tcPr>
            <w:tcW w:w="1257" w:type="dxa"/>
            <w:noWrap w:val="0"/>
            <w:vAlign w:val="center"/>
          </w:tcPr>
          <w:p w14:paraId="22A2F80E">
            <w:pPr>
              <w:keepNext w:val="0"/>
              <w:keepLines w:val="0"/>
              <w:pageBreakBefore w:val="0"/>
              <w:widowControl w:val="0"/>
              <w:kinsoku/>
              <w:wordWrap/>
              <w:overflowPunct/>
              <w:topLinePunct w:val="0"/>
              <w:autoSpaceDE/>
              <w:autoSpaceDN/>
              <w:bidi w:val="0"/>
              <w:adjustRightInd/>
              <w:snapToGrid/>
              <w:spacing w:line="360" w:lineRule="exact"/>
              <w:ind w:left="0" w:leftChars="0" w:right="0" w:firstLine="0" w:firstLineChars="0"/>
              <w:jc w:val="center"/>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0</w:t>
            </w:r>
          </w:p>
        </w:tc>
      </w:tr>
    </w:tbl>
    <w:p w14:paraId="5FA98E9E">
      <w:pPr>
        <w:keepNext w:val="0"/>
        <w:keepLines w:val="0"/>
        <w:pageBreakBefore w:val="0"/>
        <w:widowControl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i w:val="0"/>
          <w:iCs w:val="0"/>
          <w:caps w:val="0"/>
          <w:snapToGrid/>
          <w:color w:val="auto"/>
          <w:spacing w:val="0"/>
          <w:kern w:val="0"/>
          <w:sz w:val="24"/>
          <w:szCs w:val="24"/>
          <w:shd w:val="clear" w:color="auto" w:fill="FFFFFF"/>
          <w:lang w:val="en-US" w:eastAsia="zh-CN" w:bidi="ar"/>
        </w:rPr>
        <w:t>注：90分折合4.0绩点，91分折合为4.1绩点，依此类推。</w:t>
      </w:r>
    </w:p>
    <w:p w14:paraId="30DE2BC6">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（二）学分绩点可参考下列方法计算：</w:t>
      </w:r>
    </w:p>
    <w:p w14:paraId="082E0EA7">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课程学分绩点＝该课程学分×该课程成绩绩点</w:t>
      </w:r>
    </w:p>
    <w:p w14:paraId="41CD0B98">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平均学分绩点＝(课程学分绩点之和÷所修课程学分之和)+非课程学分+奖励学分</w:t>
      </w:r>
    </w:p>
    <w:p w14:paraId="371A729F">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（三）平均学分绩点是评定奖学金、选拔学生干部、评选各类先进、免修课程、推荐升学与就业等方面的重要依据。</w:t>
      </w:r>
    </w:p>
    <w:p w14:paraId="659B615F">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（四）每学期结束及修业期满，计算学生的平均学分绩点，每门课程的考核成绩、学分、绩点，均填在学生成绩登记册中。</w:t>
      </w:r>
    </w:p>
    <w:p w14:paraId="20DA650B">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第五章  补考、重修、免修</w:t>
      </w:r>
    </w:p>
    <w:p w14:paraId="41497FA8">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第十五条</w:t>
      </w:r>
      <w:r>
        <w:rPr>
          <w:rFonts w:hint="eastAsia" w:ascii="宋体" w:hAnsi="宋体" w:eastAsia="宋体" w:cs="宋体"/>
          <w:color w:val="000000"/>
          <w:sz w:val="24"/>
          <w:szCs w:val="24"/>
          <w:lang w:val="en-US" w:eastAsia="zh-CN"/>
        </w:rPr>
        <w:t xml:space="preserve">  必修课考核不及格的给予一次学期补考机会（旷考、作弊课程除外）。补考及格者成绩计为60分（或及格），并可获得该课程的学分；补考不及格或不按规定参加补考者必须重修。</w:t>
      </w:r>
    </w:p>
    <w:p w14:paraId="64F415B9">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第十六条</w:t>
      </w:r>
      <w:r>
        <w:rPr>
          <w:rFonts w:hint="eastAsia" w:ascii="宋体" w:hAnsi="宋体" w:eastAsia="宋体" w:cs="宋体"/>
          <w:color w:val="000000"/>
          <w:sz w:val="24"/>
          <w:szCs w:val="24"/>
          <w:lang w:val="en-US" w:eastAsia="zh-CN"/>
        </w:rPr>
        <w:t xml:space="preserve">  学生因转专业导致未修满转入专业人才培养方案规定的学分，可在转专业流程结束后在教务系统中提交补修申请。</w:t>
      </w:r>
    </w:p>
    <w:p w14:paraId="2840F3CE">
      <w:pPr>
        <w:keepNext w:val="0"/>
        <w:keepLines w:val="0"/>
        <w:pageBreakBefore w:val="0"/>
        <w:widowControl w:val="0"/>
        <w:kinsoku/>
        <w:wordWrap/>
        <w:overflowPunct/>
        <w:topLinePunct w:val="0"/>
        <w:autoSpaceDE/>
        <w:autoSpaceDN/>
        <w:bidi w:val="0"/>
        <w:adjustRightInd/>
        <w:snapToGrid/>
        <w:spacing w:line="400" w:lineRule="exact"/>
        <w:ind w:left="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第十七条</w:t>
      </w:r>
      <w:r>
        <w:rPr>
          <w:rFonts w:hint="eastAsia" w:ascii="宋体" w:hAnsi="宋体" w:eastAsia="宋体" w:cs="宋体"/>
          <w:color w:val="000000"/>
          <w:sz w:val="24"/>
          <w:szCs w:val="24"/>
          <w:lang w:val="en-US" w:eastAsia="zh-CN"/>
        </w:rPr>
        <w:t xml:space="preserve">  选修课考试不及格者，可以申请重修，也可以按照专业人才培养方案的规定改修其他课程。</w:t>
      </w:r>
    </w:p>
    <w:p w14:paraId="6AB79D53">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第十八条</w:t>
      </w:r>
      <w:r>
        <w:rPr>
          <w:rFonts w:hint="eastAsia" w:ascii="宋体" w:hAnsi="宋体" w:eastAsia="宋体" w:cs="宋体"/>
          <w:color w:val="000000"/>
          <w:sz w:val="24"/>
          <w:szCs w:val="24"/>
          <w:lang w:val="en-US" w:eastAsia="zh-CN"/>
        </w:rPr>
        <w:t xml:space="preserve">  重修一般随开课年级修读，须在下学期课表公布后一周内向学生所在教学单位提出申请，经批准后报教务处备案。课程重修人数超过30人，单独编班开课。</w:t>
      </w:r>
    </w:p>
    <w:p w14:paraId="2159EEB0">
      <w:pPr>
        <w:keepNext w:val="0"/>
        <w:keepLines w:val="0"/>
        <w:pageBreakBefore w:val="0"/>
        <w:widowControl w:val="0"/>
        <w:kinsoku/>
        <w:wordWrap/>
        <w:overflowPunct/>
        <w:topLinePunct w:val="0"/>
        <w:autoSpaceDE/>
        <w:autoSpaceDN/>
        <w:bidi w:val="0"/>
        <w:adjustRightInd/>
        <w:snapToGrid/>
        <w:spacing w:line="400" w:lineRule="exact"/>
        <w:ind w:left="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第十九条</w:t>
      </w:r>
      <w:r>
        <w:rPr>
          <w:rFonts w:hint="eastAsia" w:ascii="宋体" w:hAnsi="宋体" w:eastAsia="宋体" w:cs="宋体"/>
          <w:color w:val="000000"/>
          <w:sz w:val="24"/>
          <w:szCs w:val="24"/>
          <w:lang w:val="en-US" w:eastAsia="zh-CN"/>
        </w:rPr>
        <w:t xml:space="preserve">  在弹性学制年限内，允许学生对同一门课程多次重修（必修课）或改修（选修课），允许超过本专业人才培养方案规定的学分标准多修学分，均应交纳修读费。</w:t>
      </w:r>
    </w:p>
    <w:p w14:paraId="5F0B6EBE">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修读费和重修费按学分收取，收费标准如下：</w:t>
      </w:r>
    </w:p>
    <w:p w14:paraId="35E9471B">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每学分收取的费用＝学生所修专业每生每年的学费标准×学制规定的标准毕业学年数÷学分制规定的总学分数。重修费按50%收取。</w:t>
      </w:r>
    </w:p>
    <w:p w14:paraId="483709C4">
      <w:pPr>
        <w:keepNext w:val="0"/>
        <w:keepLines w:val="0"/>
        <w:pageBreakBefore w:val="0"/>
        <w:widowControl w:val="0"/>
        <w:kinsoku/>
        <w:wordWrap/>
        <w:overflowPunct/>
        <w:topLinePunct w:val="0"/>
        <w:autoSpaceDE/>
        <w:autoSpaceDN/>
        <w:bidi w:val="0"/>
        <w:adjustRightInd/>
        <w:snapToGrid/>
        <w:spacing w:line="400" w:lineRule="exact"/>
        <w:ind w:left="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第二十条</w:t>
      </w:r>
      <w:r>
        <w:rPr>
          <w:rFonts w:hint="eastAsia" w:ascii="宋体" w:hAnsi="宋体" w:eastAsia="宋体" w:cs="宋体"/>
          <w:color w:val="000000"/>
          <w:sz w:val="24"/>
          <w:szCs w:val="24"/>
          <w:lang w:val="en-US" w:eastAsia="zh-CN"/>
        </w:rPr>
        <w:t xml:space="preserve">  非社会接轨的课程申请免修读：</w:t>
      </w:r>
    </w:p>
    <w:p w14:paraId="34CE068E">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学习成绩优秀或学有所长的学生，通过自学确已掌握了某门课程知识和技能，可申请免修读该门课程。免修须通过考试，同年级免修由教务处安排，在该课程正常开设前进行；高年级免修可参加高一年级该课程的统一考试或单独命题考试。</w:t>
      </w:r>
    </w:p>
    <w:p w14:paraId="54DD73F5">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思想政治课程、入学教育、毕业设计（论文）、毕业实践等教学环节一般不能申请免修。</w:t>
      </w:r>
    </w:p>
    <w:p w14:paraId="7E026A9F">
      <w:pPr>
        <w:keepNext w:val="0"/>
        <w:keepLines w:val="0"/>
        <w:pageBreakBefore w:val="0"/>
        <w:widowControl w:val="0"/>
        <w:kinsoku/>
        <w:wordWrap/>
        <w:overflowPunct/>
        <w:topLinePunct w:val="0"/>
        <w:autoSpaceDE/>
        <w:autoSpaceDN/>
        <w:bidi w:val="0"/>
        <w:adjustRightInd/>
        <w:snapToGrid/>
        <w:spacing w:line="400" w:lineRule="exact"/>
        <w:ind w:left="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第二十一条</w:t>
      </w:r>
      <w:r>
        <w:rPr>
          <w:rFonts w:hint="eastAsia" w:ascii="宋体" w:hAnsi="宋体" w:eastAsia="宋体" w:cs="宋体"/>
          <w:color w:val="000000"/>
          <w:sz w:val="24"/>
          <w:szCs w:val="24"/>
          <w:lang w:val="en-US" w:eastAsia="zh-CN"/>
        </w:rPr>
        <w:t xml:space="preserve">  社会接轨课程申请免修读：</w:t>
      </w:r>
    </w:p>
    <w:p w14:paraId="129578D1">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学生通过自考、考证、考级等获得相应的资格证书或能力证书的，可以申请免修学校相关课程。学分绩点按社会考核成绩计算。免修由本人提出申请并出具有关证明、经学生所在教学单位提出意见、教务处批准。</w:t>
      </w:r>
    </w:p>
    <w:p w14:paraId="64EE4C87">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第六章  试读与留级</w:t>
      </w:r>
    </w:p>
    <w:p w14:paraId="13FB2AC9">
      <w:pPr>
        <w:keepNext w:val="0"/>
        <w:keepLines w:val="0"/>
        <w:pageBreakBefore w:val="0"/>
        <w:widowControl w:val="0"/>
        <w:kinsoku/>
        <w:wordWrap/>
        <w:overflowPunct/>
        <w:topLinePunct w:val="0"/>
        <w:autoSpaceDE/>
        <w:autoSpaceDN/>
        <w:bidi w:val="0"/>
        <w:adjustRightInd/>
        <w:snapToGrid/>
        <w:spacing w:line="400" w:lineRule="exact"/>
        <w:ind w:left="105" w:leftChars="5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第二十二条</w:t>
      </w:r>
      <w:r>
        <w:rPr>
          <w:rFonts w:hint="eastAsia" w:ascii="宋体" w:hAnsi="宋体" w:eastAsia="宋体" w:cs="宋体"/>
          <w:color w:val="000000"/>
          <w:sz w:val="24"/>
          <w:szCs w:val="24"/>
          <w:lang w:val="en-US" w:eastAsia="zh-CN"/>
        </w:rPr>
        <w:t xml:space="preserve">  学生考核不及格的课程，按下述规定处理：</w:t>
      </w:r>
    </w:p>
    <w:p w14:paraId="671E3AC4">
      <w:pPr>
        <w:keepNext w:val="0"/>
        <w:keepLines w:val="0"/>
        <w:pageBreakBefore w:val="0"/>
        <w:widowControl w:val="0"/>
        <w:kinsoku/>
        <w:wordWrap/>
        <w:overflowPunct/>
        <w:topLinePunct w:val="0"/>
        <w:autoSpaceDE/>
        <w:autoSpaceDN/>
        <w:bidi w:val="0"/>
        <w:adjustRightInd/>
        <w:snapToGrid/>
        <w:spacing w:line="400" w:lineRule="exact"/>
        <w:ind w:left="105" w:leftChars="5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学生每学期不及格课程经补考后仍达四门者，跟班试读。试读学生第二学期期末考试如仍有不及格课程，则不予补考，直接予以留级。试读学生如第二学期期末考试全部课程及格，则第一学期不及格课程准予再补考一次，经补考后，该学年两学期不及格课程累计少于四门（不含四门），可以升级，其不及格课程毕业前再给予补考；经补考后，该学年两学期课程不及格课程累计达四门（含四门）及以上者，予以留级。</w:t>
      </w:r>
    </w:p>
    <w:p w14:paraId="64A55BBF">
      <w:pPr>
        <w:keepNext w:val="0"/>
        <w:keepLines w:val="0"/>
        <w:pageBreakBefore w:val="0"/>
        <w:widowControl w:val="0"/>
        <w:kinsoku/>
        <w:wordWrap/>
        <w:overflowPunct/>
        <w:topLinePunct w:val="0"/>
        <w:autoSpaceDE/>
        <w:autoSpaceDN/>
        <w:bidi w:val="0"/>
        <w:adjustRightInd/>
        <w:snapToGrid/>
        <w:spacing w:line="400" w:lineRule="exact"/>
        <w:ind w:left="105" w:leftChars="5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第二十三条</w:t>
      </w:r>
      <w:r>
        <w:rPr>
          <w:rFonts w:hint="eastAsia" w:ascii="宋体" w:hAnsi="宋体" w:eastAsia="宋体" w:cs="宋体"/>
          <w:color w:val="000000"/>
          <w:sz w:val="24"/>
          <w:szCs w:val="24"/>
          <w:lang w:val="en-US" w:eastAsia="zh-CN"/>
        </w:rPr>
        <w:t xml:space="preserve">  连续二次受到跟班试读的学生，直接予以留级。</w:t>
      </w:r>
    </w:p>
    <w:p w14:paraId="6F1D62E6">
      <w:pPr>
        <w:keepNext w:val="0"/>
        <w:keepLines w:val="0"/>
        <w:pageBreakBefore w:val="0"/>
        <w:widowControl w:val="0"/>
        <w:kinsoku/>
        <w:wordWrap/>
        <w:overflowPunct/>
        <w:topLinePunct w:val="0"/>
        <w:autoSpaceDE/>
        <w:autoSpaceDN/>
        <w:bidi w:val="0"/>
        <w:adjustRightInd/>
        <w:snapToGrid/>
        <w:spacing w:line="400" w:lineRule="exact"/>
        <w:ind w:left="105" w:leftChars="5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highlight w:val="none"/>
          <w:lang w:val="en-US" w:eastAsia="zh-CN" w:bidi="ar-SA"/>
        </w:rPr>
        <w:t>第二十四条</w:t>
      </w:r>
      <w:r>
        <w:rPr>
          <w:rFonts w:hint="eastAsia" w:ascii="宋体" w:hAnsi="宋体" w:eastAsia="宋体" w:cs="宋体"/>
          <w:color w:val="000000"/>
          <w:sz w:val="24"/>
          <w:szCs w:val="24"/>
          <w:lang w:val="en-US" w:eastAsia="zh-CN"/>
        </w:rPr>
        <w:t xml:space="preserve">  学生不及格课程门数达到留级标准，但因专业设置问题无法留级的，跟班试读。此类试读学生毕业时清算累积的不及格课程门数：累计达八门（含八门）以上者，不予参加毕业前补考和毕业资格审查，作延期毕业处理。</w:t>
      </w:r>
    </w:p>
    <w:p w14:paraId="47358A65">
      <w:pPr>
        <w:keepNext w:val="0"/>
        <w:keepLines w:val="0"/>
        <w:pageBreakBefore w:val="0"/>
        <w:widowControl w:val="0"/>
        <w:kinsoku/>
        <w:wordWrap/>
        <w:overflowPunct/>
        <w:topLinePunct w:val="0"/>
        <w:autoSpaceDE/>
        <w:autoSpaceDN/>
        <w:bidi w:val="0"/>
        <w:adjustRightInd/>
        <w:snapToGrid/>
        <w:spacing w:line="400" w:lineRule="exact"/>
        <w:ind w:left="105" w:leftChars="50" w:right="0" w:firstLine="482"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kern w:val="0"/>
          <w:sz w:val="24"/>
          <w:szCs w:val="24"/>
          <w:highlight w:val="none"/>
          <w:lang w:val="en-US" w:eastAsia="zh-CN" w:bidi="ar-SA"/>
        </w:rPr>
        <w:t>第二十五条</w:t>
      </w:r>
      <w:r>
        <w:rPr>
          <w:rFonts w:hint="eastAsia" w:ascii="宋体" w:hAnsi="宋体" w:eastAsia="宋体" w:cs="宋体"/>
          <w:color w:val="000000"/>
          <w:sz w:val="24"/>
          <w:szCs w:val="24"/>
          <w:lang w:val="en-US" w:eastAsia="zh-CN"/>
        </w:rPr>
        <w:t xml:space="preserve">  留级学生已学过的课程考核成绩达到良好及以上者，可以申请不再重修（不含体育课）。</w:t>
      </w:r>
    </w:p>
    <w:p w14:paraId="559BDA4A">
      <w:pPr>
        <w:keepNext w:val="0"/>
        <w:keepLines w:val="0"/>
        <w:pageBreakBefore w:val="0"/>
        <w:widowControl w:val="0"/>
        <w:kinsoku/>
        <w:wordWrap/>
        <w:overflowPunct/>
        <w:topLinePunct w:val="0"/>
        <w:autoSpaceDE/>
        <w:autoSpaceDN/>
        <w:bidi w:val="0"/>
        <w:adjustRightInd/>
        <w:snapToGrid/>
        <w:spacing w:line="400" w:lineRule="exact"/>
        <w:ind w:left="105" w:leftChars="50" w:right="0" w:firstLine="482" w:firstLineChars="200"/>
        <w:jc w:val="both"/>
        <w:textAlignment w:val="auto"/>
        <w:rPr>
          <w:rFonts w:hint="eastAsia" w:ascii="宋体" w:hAnsi="宋体" w:eastAsia="宋体" w:cs="宋体"/>
          <w:color w:val="000000"/>
          <w:sz w:val="24"/>
          <w:szCs w:val="24"/>
        </w:rPr>
      </w:pPr>
      <w:r>
        <w:rPr>
          <w:rFonts w:hint="eastAsia" w:ascii="宋体" w:hAnsi="宋体" w:eastAsia="宋体" w:cs="宋体"/>
          <w:b/>
          <w:bCs/>
          <w:color w:val="000000"/>
          <w:kern w:val="0"/>
          <w:sz w:val="24"/>
          <w:szCs w:val="24"/>
          <w:highlight w:val="none"/>
          <w:lang w:val="en-US" w:eastAsia="zh-CN" w:bidi="ar-SA"/>
        </w:rPr>
        <w:t>第二十六条</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学生在校期间只能</w:t>
      </w:r>
      <w:r>
        <w:rPr>
          <w:rFonts w:hint="eastAsia" w:ascii="宋体" w:hAnsi="宋体" w:eastAsia="宋体" w:cs="宋体"/>
          <w:color w:val="000000"/>
          <w:sz w:val="24"/>
          <w:szCs w:val="24"/>
          <w:lang w:val="en-US" w:eastAsia="zh-CN"/>
        </w:rPr>
        <w:t>留级</w:t>
      </w:r>
      <w:r>
        <w:rPr>
          <w:rFonts w:hint="eastAsia" w:ascii="宋体" w:hAnsi="宋体" w:eastAsia="宋体" w:cs="宋体"/>
          <w:color w:val="000000"/>
          <w:sz w:val="24"/>
          <w:szCs w:val="24"/>
        </w:rPr>
        <w:t>一次。</w:t>
      </w:r>
    </w:p>
    <w:p w14:paraId="6DAF4344">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highlight w:val="none"/>
          <w:lang w:val="en-US" w:eastAsia="zh-CN"/>
        </w:rPr>
        <w:t>第七章  跨校课程学分认定和</w:t>
      </w:r>
      <w:r>
        <w:rPr>
          <w:rFonts w:hint="eastAsia" w:ascii="宋体" w:hAnsi="宋体" w:eastAsia="宋体" w:cs="宋体"/>
          <w:b/>
          <w:bCs/>
          <w:sz w:val="32"/>
          <w:szCs w:val="32"/>
          <w:lang w:val="en-US" w:eastAsia="zh-CN"/>
        </w:rPr>
        <w:t>转换</w:t>
      </w:r>
    </w:p>
    <w:p w14:paraId="0F909E83">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lang w:val="en-US" w:eastAsia="zh-CN" w:bidi="ar-SA"/>
        </w:rPr>
        <w:t>第二十七条</w:t>
      </w:r>
      <w:r>
        <w:rPr>
          <w:rFonts w:hint="eastAsia" w:ascii="宋体" w:hAnsi="宋体" w:eastAsia="宋体" w:cs="宋体"/>
          <w:color w:val="000000"/>
          <w:sz w:val="24"/>
          <w:szCs w:val="24"/>
          <w:lang w:val="en-US" w:eastAsia="zh-CN"/>
        </w:rPr>
        <w:t xml:space="preserve">  学生跨校修读的课程，应基本符合我校相关专业人才培养方案对学生培养的要求。按照专业人才培养方案，认定学生跨校所修课程性质、转换相应学分。凡跨校所修课程与我校专业人才培养方案无法对应的，统一认定为选修课程。</w:t>
      </w:r>
    </w:p>
    <w:p w14:paraId="6074E4A2">
      <w:pPr>
        <w:keepNext w:val="0"/>
        <w:keepLines w:val="0"/>
        <w:pageBreakBefore w:val="0"/>
        <w:widowControl w:val="0"/>
        <w:kinsoku/>
        <w:wordWrap/>
        <w:overflowPunct/>
        <w:topLinePunct w:val="0"/>
        <w:autoSpaceDE/>
        <w:autoSpaceDN/>
        <w:bidi w:val="0"/>
        <w:adjustRightInd/>
        <w:snapToGrid/>
        <w:spacing w:line="400" w:lineRule="exact"/>
        <w:ind w:left="0" w:right="0" w:firstLine="482"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lang w:val="en-US" w:eastAsia="zh-CN" w:bidi="ar-SA"/>
        </w:rPr>
        <w:t>第二十八条</w:t>
      </w:r>
      <w:r>
        <w:rPr>
          <w:rFonts w:hint="eastAsia" w:ascii="宋体" w:hAnsi="宋体" w:eastAsia="宋体" w:cs="宋体"/>
          <w:color w:val="000000"/>
          <w:sz w:val="24"/>
          <w:szCs w:val="24"/>
          <w:lang w:val="en-US" w:eastAsia="zh-CN"/>
        </w:rPr>
        <w:t xml:space="preserve">  学生跨校所修课程的成绩单以对方学校提供的原件为依据。课程成绩评定转换的标准是：</w:t>
      </w:r>
    </w:p>
    <w:p w14:paraId="1FFA31FB">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（一）若跨校修读课程成绩记载方式为百分制和优秀、良好、中等、及格和不及格五级等级制，则无需转换，按照本办法第十四条（一）记载成绩，折合成绩绩点。</w:t>
      </w:r>
    </w:p>
    <w:p w14:paraId="57C04346">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（二）若跨校修读课程成绩记载方式为A、B、C、D、F五个等级，其对应的分数为：A—95，B—85，C—75，D—65，F—55。</w:t>
      </w:r>
    </w:p>
    <w:p w14:paraId="0E736CC6">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（三）若跨校修读课程成绩记载方式为A+、A、A-、B+、B、B-、C+、C、C-、D+、D、D-、F时，其对应的分数为：A+—100，A—95，A-—90；B+—89，B—85，B-—80；C+—79，C—75，C-—70；D+—69，D—65，D-—60；F—55。</w:t>
      </w:r>
    </w:p>
    <w:p w14:paraId="614EE770">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（四）若跨校修读课程成绩记载方式为合格和不合格二级分制，其对应的分数为：合格—85，不合格—55。</w:t>
      </w:r>
    </w:p>
    <w:p w14:paraId="69BB0661">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lang w:val="en-US" w:eastAsia="zh-CN" w:bidi="ar-SA"/>
        </w:rPr>
        <w:t>第二十九条</w:t>
      </w:r>
      <w:r>
        <w:rPr>
          <w:rFonts w:hint="eastAsia" w:ascii="宋体" w:hAnsi="宋体" w:eastAsia="宋体" w:cs="宋体"/>
          <w:color w:val="000000"/>
          <w:sz w:val="24"/>
          <w:szCs w:val="24"/>
          <w:lang w:val="en-US" w:eastAsia="zh-CN"/>
        </w:rPr>
        <w:t xml:space="preserve">  课程学分转换参照我校学分与学时对应关系，即1学分对应18学时。</w:t>
      </w:r>
    </w:p>
    <w:p w14:paraId="28FB265C">
      <w:pPr>
        <w:keepNext w:val="0"/>
        <w:keepLines w:val="0"/>
        <w:pageBreakBefore w:val="0"/>
        <w:widowControl w:val="0"/>
        <w:kinsoku/>
        <w:wordWrap/>
        <w:overflowPunct/>
        <w:topLinePunct w:val="0"/>
        <w:autoSpaceDE/>
        <w:autoSpaceDN/>
        <w:bidi w:val="0"/>
        <w:adjustRightInd/>
        <w:snapToGrid/>
        <w:spacing w:before="156" w:beforeLines="50" w:after="156" w:afterLines="50" w:line="62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第八章  毕业学分要求</w:t>
      </w:r>
    </w:p>
    <w:p w14:paraId="309DF10F">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lang w:val="en-US" w:eastAsia="zh-CN" w:bidi="ar-SA"/>
        </w:rPr>
        <w:t>第三十条</w:t>
      </w:r>
      <w:r>
        <w:rPr>
          <w:rFonts w:hint="eastAsia" w:ascii="宋体" w:hAnsi="宋体" w:eastAsia="宋体" w:cs="宋体"/>
          <w:color w:val="000000"/>
          <w:sz w:val="24"/>
          <w:szCs w:val="24"/>
          <w:lang w:val="en-US" w:eastAsia="zh-CN"/>
        </w:rPr>
        <w:t xml:space="preserve">  学生在规定修读年限内，按照专业人才培养方案的要求，修满规定的必修课、选修课和课外学分及总学分，获得毕业资格，准予毕业。</w:t>
      </w:r>
    </w:p>
    <w:p w14:paraId="60F2CD58">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lang w:val="en-US" w:eastAsia="zh-CN" w:bidi="ar-SA"/>
        </w:rPr>
        <w:t>第三十一条</w:t>
      </w:r>
      <w:r>
        <w:rPr>
          <w:rFonts w:hint="eastAsia" w:ascii="宋体" w:hAnsi="宋体" w:eastAsia="宋体" w:cs="宋体"/>
          <w:color w:val="000000"/>
          <w:sz w:val="24"/>
          <w:szCs w:val="24"/>
          <w:lang w:val="en-US" w:eastAsia="zh-CN"/>
        </w:rPr>
        <w:t xml:space="preserve">  每个学生除完成专业人才培养方案规定的必修课、选修课学分及总学分要求外，还必须完成至少4个非课程和奖励学分。</w:t>
      </w:r>
    </w:p>
    <w:p w14:paraId="1FC1B00A">
      <w:pPr>
        <w:keepNext w:val="0"/>
        <w:keepLines w:val="0"/>
        <w:pageBreakBefore w:val="0"/>
        <w:widowControl w:val="0"/>
        <w:kinsoku/>
        <w:wordWrap/>
        <w:overflowPunct/>
        <w:topLinePunct w:val="0"/>
        <w:autoSpaceDE/>
        <w:autoSpaceDN/>
        <w:bidi w:val="0"/>
        <w:adjustRightInd/>
        <w:snapToGrid/>
        <w:spacing w:before="156" w:beforeLines="50" w:after="156" w:afterLines="50" w:line="62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第九章  附  则</w:t>
      </w:r>
    </w:p>
    <w:p w14:paraId="6EE21231">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b/>
          <w:bCs/>
          <w:color w:val="000000"/>
          <w:kern w:val="0"/>
          <w:sz w:val="24"/>
          <w:szCs w:val="24"/>
          <w:lang w:val="en-US" w:eastAsia="zh-CN" w:bidi="ar-SA"/>
        </w:rPr>
        <w:t>第三十二条</w:t>
      </w:r>
      <w:r>
        <w:rPr>
          <w:rFonts w:hint="eastAsia" w:ascii="宋体" w:hAnsi="宋体" w:eastAsia="宋体" w:cs="宋体"/>
          <w:color w:val="000000"/>
          <w:sz w:val="24"/>
          <w:szCs w:val="24"/>
          <w:lang w:val="en-US" w:eastAsia="zh-CN"/>
        </w:rPr>
        <w:t xml:space="preserve">  本办法未涉及的学籍管理与教学管理事项，仍按现行的学籍管理和教学管理相关规定执行。</w:t>
      </w:r>
    </w:p>
    <w:p w14:paraId="7BF14001">
      <w:pPr>
        <w:keepNext w:val="0"/>
        <w:keepLines w:val="0"/>
        <w:pageBreakBefore w:val="0"/>
        <w:widowControl w:val="0"/>
        <w:kinsoku/>
        <w:wordWrap/>
        <w:overflowPunct/>
        <w:topLinePunct w:val="0"/>
        <w:autoSpaceDE/>
        <w:autoSpaceDN/>
        <w:bidi w:val="0"/>
        <w:adjustRightInd/>
        <w:snapToGrid/>
        <w:spacing w:line="400" w:lineRule="exact"/>
        <w:ind w:left="0" w:leftChars="0" w:right="0" w:firstLine="482" w:firstLineChars="200"/>
        <w:jc w:val="both"/>
        <w:textAlignment w:val="auto"/>
        <w:rPr>
          <w:rFonts w:hint="eastAsia" w:ascii="宋体" w:hAnsi="宋体" w:eastAsia="宋体" w:cs="宋体"/>
          <w:i w:val="0"/>
          <w:iCs w:val="0"/>
          <w:caps w:val="0"/>
          <w:snapToGrid/>
          <w:color w:val="auto"/>
          <w:spacing w:val="0"/>
          <w:kern w:val="0"/>
          <w:sz w:val="24"/>
          <w:szCs w:val="24"/>
          <w:shd w:val="clear" w:color="auto" w:fill="FFFFFF"/>
          <w:lang w:val="en-US" w:eastAsia="zh-CN" w:bidi="ar"/>
        </w:rPr>
      </w:pPr>
      <w:r>
        <w:rPr>
          <w:rFonts w:hint="eastAsia" w:ascii="宋体" w:hAnsi="宋体" w:eastAsia="宋体" w:cs="宋体"/>
          <w:b/>
          <w:bCs/>
          <w:color w:val="000000"/>
          <w:kern w:val="0"/>
          <w:sz w:val="24"/>
          <w:szCs w:val="24"/>
          <w:lang w:val="en-US" w:eastAsia="zh-CN" w:bidi="ar-SA"/>
        </w:rPr>
        <w:t>第三十三条</w:t>
      </w:r>
      <w:r>
        <w:rPr>
          <w:rFonts w:hint="eastAsia" w:ascii="宋体" w:hAnsi="宋体" w:eastAsia="宋体" w:cs="宋体"/>
          <w:color w:val="000000"/>
          <w:sz w:val="24"/>
          <w:szCs w:val="24"/>
          <w:lang w:val="en-US" w:eastAsia="zh-CN"/>
        </w:rPr>
        <w:t xml:space="preserve">  本办法自发布之日起实行，由教务处负责解释。以往所发有关文件规定与本办法不一致的，以本办法为准。</w:t>
      </w:r>
    </w:p>
    <w:p w14:paraId="00F212D5">
      <w:pPr>
        <w:pStyle w:val="4"/>
        <w:ind w:firstLine="210"/>
        <w:rPr>
          <w:color w:val="auto"/>
        </w:rPr>
      </w:pPr>
    </w:p>
    <w:p w14:paraId="1E90760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C4BB3"/>
    <w:rsid w:val="006913DC"/>
    <w:rsid w:val="00992BAC"/>
    <w:rsid w:val="015F3931"/>
    <w:rsid w:val="02BD730D"/>
    <w:rsid w:val="030E55EB"/>
    <w:rsid w:val="03377393"/>
    <w:rsid w:val="039E28CB"/>
    <w:rsid w:val="03B31B56"/>
    <w:rsid w:val="048521A7"/>
    <w:rsid w:val="051263CA"/>
    <w:rsid w:val="052D3AC4"/>
    <w:rsid w:val="05E0583A"/>
    <w:rsid w:val="0628576A"/>
    <w:rsid w:val="069F7121"/>
    <w:rsid w:val="06D517D1"/>
    <w:rsid w:val="077642C8"/>
    <w:rsid w:val="08130769"/>
    <w:rsid w:val="08283C1C"/>
    <w:rsid w:val="086E753E"/>
    <w:rsid w:val="090A0E11"/>
    <w:rsid w:val="097C4BB3"/>
    <w:rsid w:val="09FD0EBE"/>
    <w:rsid w:val="0A385456"/>
    <w:rsid w:val="0A5B7951"/>
    <w:rsid w:val="0AB25A1E"/>
    <w:rsid w:val="0AF267DF"/>
    <w:rsid w:val="0B0550D6"/>
    <w:rsid w:val="0B14671F"/>
    <w:rsid w:val="0C0041B6"/>
    <w:rsid w:val="0C5A2866"/>
    <w:rsid w:val="0CEE3490"/>
    <w:rsid w:val="0E7346C0"/>
    <w:rsid w:val="0F22488A"/>
    <w:rsid w:val="0F607805"/>
    <w:rsid w:val="0FC04DE7"/>
    <w:rsid w:val="10453726"/>
    <w:rsid w:val="10627504"/>
    <w:rsid w:val="11334E8E"/>
    <w:rsid w:val="11367E34"/>
    <w:rsid w:val="12077AC9"/>
    <w:rsid w:val="12756A26"/>
    <w:rsid w:val="12797CB6"/>
    <w:rsid w:val="13464A14"/>
    <w:rsid w:val="13677648"/>
    <w:rsid w:val="13DE03D9"/>
    <w:rsid w:val="13FA4416"/>
    <w:rsid w:val="140A20E5"/>
    <w:rsid w:val="144237D4"/>
    <w:rsid w:val="14727494"/>
    <w:rsid w:val="14D70565"/>
    <w:rsid w:val="15040BA3"/>
    <w:rsid w:val="16353A34"/>
    <w:rsid w:val="169E47B3"/>
    <w:rsid w:val="17187BCD"/>
    <w:rsid w:val="180F0C7F"/>
    <w:rsid w:val="19BA4580"/>
    <w:rsid w:val="1ACB3940"/>
    <w:rsid w:val="1B7F7ACE"/>
    <w:rsid w:val="1C250018"/>
    <w:rsid w:val="1C3C52D5"/>
    <w:rsid w:val="1C540827"/>
    <w:rsid w:val="1CE53E95"/>
    <w:rsid w:val="1D440FFD"/>
    <w:rsid w:val="1D517D72"/>
    <w:rsid w:val="1E0759FF"/>
    <w:rsid w:val="1E664DD1"/>
    <w:rsid w:val="1F6D55DC"/>
    <w:rsid w:val="1FF928C3"/>
    <w:rsid w:val="2020348E"/>
    <w:rsid w:val="20354D7C"/>
    <w:rsid w:val="21F1395A"/>
    <w:rsid w:val="229237EA"/>
    <w:rsid w:val="23396337"/>
    <w:rsid w:val="23613DB7"/>
    <w:rsid w:val="23625629"/>
    <w:rsid w:val="237C4C18"/>
    <w:rsid w:val="2529794C"/>
    <w:rsid w:val="25731609"/>
    <w:rsid w:val="259F6B41"/>
    <w:rsid w:val="25EA09BF"/>
    <w:rsid w:val="261B0A62"/>
    <w:rsid w:val="27100B33"/>
    <w:rsid w:val="27C4232F"/>
    <w:rsid w:val="283E7751"/>
    <w:rsid w:val="297A024A"/>
    <w:rsid w:val="299F1066"/>
    <w:rsid w:val="2B0A6A65"/>
    <w:rsid w:val="2B9A5AAF"/>
    <w:rsid w:val="2CA23268"/>
    <w:rsid w:val="2CF501AE"/>
    <w:rsid w:val="2DBD65C1"/>
    <w:rsid w:val="2E1F1990"/>
    <w:rsid w:val="2E216283"/>
    <w:rsid w:val="2E9B7C06"/>
    <w:rsid w:val="2F9C0F76"/>
    <w:rsid w:val="2F9C1C93"/>
    <w:rsid w:val="2FE65404"/>
    <w:rsid w:val="2FFC3C91"/>
    <w:rsid w:val="30DE74A0"/>
    <w:rsid w:val="31282FBD"/>
    <w:rsid w:val="31912695"/>
    <w:rsid w:val="31E64899"/>
    <w:rsid w:val="324E6612"/>
    <w:rsid w:val="32C91E04"/>
    <w:rsid w:val="32FB574C"/>
    <w:rsid w:val="331A586F"/>
    <w:rsid w:val="332455A8"/>
    <w:rsid w:val="35B86A5D"/>
    <w:rsid w:val="3631410C"/>
    <w:rsid w:val="36427923"/>
    <w:rsid w:val="36443FD2"/>
    <w:rsid w:val="365C5BF9"/>
    <w:rsid w:val="36F829F9"/>
    <w:rsid w:val="36FE4AC5"/>
    <w:rsid w:val="370F038A"/>
    <w:rsid w:val="38BE5911"/>
    <w:rsid w:val="39A92EBB"/>
    <w:rsid w:val="3A141644"/>
    <w:rsid w:val="3AE6125A"/>
    <w:rsid w:val="3B135598"/>
    <w:rsid w:val="3BB379EB"/>
    <w:rsid w:val="3C6D23D2"/>
    <w:rsid w:val="3C7F368F"/>
    <w:rsid w:val="3D507672"/>
    <w:rsid w:val="3D814B51"/>
    <w:rsid w:val="3D972462"/>
    <w:rsid w:val="3E774F1D"/>
    <w:rsid w:val="3E7C3447"/>
    <w:rsid w:val="3E824A07"/>
    <w:rsid w:val="3F3D0393"/>
    <w:rsid w:val="3F8A1BED"/>
    <w:rsid w:val="3F9373C9"/>
    <w:rsid w:val="3FE519E6"/>
    <w:rsid w:val="4032700E"/>
    <w:rsid w:val="41211048"/>
    <w:rsid w:val="4196729D"/>
    <w:rsid w:val="420B48BB"/>
    <w:rsid w:val="42A07BA2"/>
    <w:rsid w:val="42D70EA7"/>
    <w:rsid w:val="44926B46"/>
    <w:rsid w:val="454F4DD9"/>
    <w:rsid w:val="45DA1BC1"/>
    <w:rsid w:val="463961B8"/>
    <w:rsid w:val="47595BAA"/>
    <w:rsid w:val="47BE34F0"/>
    <w:rsid w:val="48A61AC4"/>
    <w:rsid w:val="490D2911"/>
    <w:rsid w:val="49172DE6"/>
    <w:rsid w:val="4A26123E"/>
    <w:rsid w:val="4A840D0F"/>
    <w:rsid w:val="4AE8204A"/>
    <w:rsid w:val="4B574CAC"/>
    <w:rsid w:val="4BBF255B"/>
    <w:rsid w:val="4BD23AA9"/>
    <w:rsid w:val="4C142FA5"/>
    <w:rsid w:val="4C3123B0"/>
    <w:rsid w:val="4C34322C"/>
    <w:rsid w:val="4C934D8D"/>
    <w:rsid w:val="4CEE1B38"/>
    <w:rsid w:val="4D365573"/>
    <w:rsid w:val="4D3A2B72"/>
    <w:rsid w:val="4D3D0369"/>
    <w:rsid w:val="4D552E93"/>
    <w:rsid w:val="4D5A56E0"/>
    <w:rsid w:val="4E387B91"/>
    <w:rsid w:val="4F143B91"/>
    <w:rsid w:val="4F2F4AB3"/>
    <w:rsid w:val="51A61F9E"/>
    <w:rsid w:val="51E27420"/>
    <w:rsid w:val="5228212C"/>
    <w:rsid w:val="52841EE4"/>
    <w:rsid w:val="52A96FAF"/>
    <w:rsid w:val="52B31B8A"/>
    <w:rsid w:val="534E7C97"/>
    <w:rsid w:val="535B59B6"/>
    <w:rsid w:val="54157894"/>
    <w:rsid w:val="55637C11"/>
    <w:rsid w:val="55931537"/>
    <w:rsid w:val="55B62744"/>
    <w:rsid w:val="561C59B9"/>
    <w:rsid w:val="5636549D"/>
    <w:rsid w:val="590C11D3"/>
    <w:rsid w:val="59C42A7D"/>
    <w:rsid w:val="59C547B3"/>
    <w:rsid w:val="5A6348B2"/>
    <w:rsid w:val="5AFF0748"/>
    <w:rsid w:val="5B670DD3"/>
    <w:rsid w:val="5B991F1B"/>
    <w:rsid w:val="5C7E34C8"/>
    <w:rsid w:val="5D020895"/>
    <w:rsid w:val="5D2B5B04"/>
    <w:rsid w:val="5D6232E9"/>
    <w:rsid w:val="5DFB3CDF"/>
    <w:rsid w:val="5F340340"/>
    <w:rsid w:val="5FB7460C"/>
    <w:rsid w:val="60947BBB"/>
    <w:rsid w:val="61060251"/>
    <w:rsid w:val="61C63418"/>
    <w:rsid w:val="62025BAD"/>
    <w:rsid w:val="62783AB3"/>
    <w:rsid w:val="630F1C76"/>
    <w:rsid w:val="633D41AD"/>
    <w:rsid w:val="644146BC"/>
    <w:rsid w:val="65675320"/>
    <w:rsid w:val="664F3398"/>
    <w:rsid w:val="66666487"/>
    <w:rsid w:val="67897755"/>
    <w:rsid w:val="67D17A15"/>
    <w:rsid w:val="68482B9F"/>
    <w:rsid w:val="68F0062D"/>
    <w:rsid w:val="69045A3B"/>
    <w:rsid w:val="69926371"/>
    <w:rsid w:val="699F0CF6"/>
    <w:rsid w:val="6A393976"/>
    <w:rsid w:val="6ACE1ED1"/>
    <w:rsid w:val="6ADC5D76"/>
    <w:rsid w:val="6B374476"/>
    <w:rsid w:val="6BD64953"/>
    <w:rsid w:val="6D2A6580"/>
    <w:rsid w:val="6D352F46"/>
    <w:rsid w:val="6ED605E1"/>
    <w:rsid w:val="6FDF4954"/>
    <w:rsid w:val="6FEE101B"/>
    <w:rsid w:val="70D71937"/>
    <w:rsid w:val="70F44372"/>
    <w:rsid w:val="71F4490A"/>
    <w:rsid w:val="72203FF6"/>
    <w:rsid w:val="72793D3A"/>
    <w:rsid w:val="73AC39C2"/>
    <w:rsid w:val="73B8240D"/>
    <w:rsid w:val="73C15BEB"/>
    <w:rsid w:val="74561C23"/>
    <w:rsid w:val="75393D07"/>
    <w:rsid w:val="7624631F"/>
    <w:rsid w:val="762E5EE4"/>
    <w:rsid w:val="76DC2716"/>
    <w:rsid w:val="76E95A7B"/>
    <w:rsid w:val="773E1BF8"/>
    <w:rsid w:val="77A16911"/>
    <w:rsid w:val="77E64877"/>
    <w:rsid w:val="78130509"/>
    <w:rsid w:val="78144E31"/>
    <w:rsid w:val="781B1F19"/>
    <w:rsid w:val="790E0EAC"/>
    <w:rsid w:val="79563D8F"/>
    <w:rsid w:val="79DD06B0"/>
    <w:rsid w:val="79F94692"/>
    <w:rsid w:val="7A0E41BA"/>
    <w:rsid w:val="7A353BF9"/>
    <w:rsid w:val="7A81787C"/>
    <w:rsid w:val="7AD353C1"/>
    <w:rsid w:val="7AF05EC5"/>
    <w:rsid w:val="7B0D7CDF"/>
    <w:rsid w:val="7BAC6B1E"/>
    <w:rsid w:val="7C303FA5"/>
    <w:rsid w:val="7C5B3AB6"/>
    <w:rsid w:val="7CD73372"/>
    <w:rsid w:val="7D222080"/>
    <w:rsid w:val="7D8C5969"/>
    <w:rsid w:val="7E116031"/>
    <w:rsid w:val="7FBD0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djustRightInd w:val="0"/>
      <w:spacing w:line="240" w:lineRule="auto"/>
      <w:ind w:firstLine="0" w:firstLineChars="0"/>
      <w:jc w:val="center"/>
    </w:pPr>
    <w:rPr>
      <w:rFonts w:ascii="仿宋_GB2312" w:hAnsi="仿宋_GB2312" w:eastAsia="微软雅黑" w:cs="仿宋_GB2312"/>
      <w:sz w:val="21"/>
      <w:szCs w:val="32"/>
    </w:rPr>
  </w:style>
  <w:style w:type="paragraph" w:styleId="3">
    <w:name w:val="Normal (Web)"/>
    <w:basedOn w:val="1"/>
    <w:uiPriority w:val="0"/>
    <w:pPr>
      <w:widowControl/>
      <w:spacing w:before="100" w:beforeAutospacing="1" w:after="100" w:afterAutospacing="1"/>
      <w:jc w:val="left"/>
    </w:pPr>
    <w:rPr>
      <w:rFonts w:ascii="宋体" w:hAnsi="宋体" w:cs="宋体"/>
      <w:kern w:val="0"/>
      <w:sz w:val="24"/>
    </w:rPr>
  </w:style>
  <w:style w:type="paragraph" w:styleId="4">
    <w:name w:val="Body Text First Indent"/>
    <w:basedOn w:val="2"/>
    <w:qFormat/>
    <w:uiPriority w:val="0"/>
    <w:pPr>
      <w:ind w:firstLine="420" w:firstLineChars="100"/>
    </w:pPr>
  </w:style>
  <w:style w:type="table" w:customStyle="1" w:styleId="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2025-07-04T07:20:00Z</dcterms:created>
  <dc:creator>王颖慧</dc:creator>
  <cp:lastModifiedBy>王颖慧</cp:lastModifiedBy>
  <dcterms:modified xsi:type="dcterms:W3CDTF">2025-07-04T07:20:20Z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14267E12909241F59EE79AEDCAFB494C_11</vt:lpwstr>
  </property>
  <property fmtid="{D5CDD505-2E9C-101B-9397-08002B2CF9AE}" pid="4" name="KSOTemplateDocerSaveRecord">
    <vt:lpwstr>eyJoZGlkIjoiYzg5YmQ3NTMyZTNmYjI5NDJhNmQ1NjdlMTVmOWQyMGQiLCJ1c2VySWQiOiIxNjg1MDAyNDQzIn0=</vt:lpwstr>
  </property>
</Properties>
</file>