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2067A6">
      <w:pPr>
        <w:pStyle w:val="3"/>
        <w:keepNext w:val="0"/>
        <w:keepLines w:val="0"/>
        <w:pageBreakBefore w:val="0"/>
        <w:widowControl w:val="0"/>
        <w:kinsoku/>
        <w:wordWrap/>
        <w:overflowPunct/>
        <w:topLinePunct w:val="0"/>
        <w:autoSpaceDE/>
        <w:autoSpaceDN/>
        <w:bidi w:val="0"/>
        <w:adjustRightInd/>
        <w:snapToGrid/>
        <w:spacing w:before="0" w:after="0" w:line="240" w:lineRule="auto"/>
        <w:textAlignment w:val="auto"/>
        <w:rPr>
          <w:rFonts w:hint="eastAsia"/>
          <w:color w:val="auto"/>
        </w:rPr>
      </w:pPr>
      <w:r>
        <w:rPr>
          <w:rFonts w:hint="eastAsia"/>
          <w:color w:val="auto"/>
        </w:rPr>
        <w:t>阜阳职业技术学院学生综合素质测评实施办法</w:t>
      </w:r>
    </w:p>
    <w:p w14:paraId="5C893CFC">
      <w:pPr>
        <w:pStyle w:val="2"/>
        <w:keepNext w:val="0"/>
        <w:keepLines w:val="0"/>
        <w:pageBreakBefore w:val="0"/>
        <w:widowControl w:val="0"/>
        <w:kinsoku/>
        <w:wordWrap/>
        <w:overflowPunct/>
        <w:topLinePunct w:val="0"/>
        <w:autoSpaceDE/>
        <w:autoSpaceDN/>
        <w:bidi w:val="0"/>
        <w:adjustRightInd/>
        <w:snapToGrid/>
        <w:textAlignment w:val="auto"/>
        <w:rPr>
          <w:rFonts w:hint="eastAsia"/>
          <w:color w:val="auto"/>
        </w:rPr>
      </w:pPr>
      <w:r>
        <w:rPr>
          <w:rFonts w:hint="eastAsia"/>
          <w:color w:val="auto"/>
        </w:rPr>
        <w:t>第一章  总 则</w:t>
      </w:r>
    </w:p>
    <w:p w14:paraId="090F82C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b/>
          <w:color w:val="auto"/>
          <w:sz w:val="24"/>
          <w:szCs w:val="24"/>
        </w:rPr>
      </w:pPr>
      <w:r>
        <w:rPr>
          <w:rFonts w:hint="eastAsia" w:ascii="宋体" w:hAnsi="宋体"/>
          <w:b/>
          <w:color w:val="auto"/>
          <w:sz w:val="24"/>
          <w:szCs w:val="24"/>
        </w:rPr>
        <w:t xml:space="preserve">第一条  </w:t>
      </w:r>
      <w:r>
        <w:rPr>
          <w:rFonts w:hint="eastAsia" w:ascii="宋体" w:hAnsi="宋体"/>
          <w:color w:val="auto"/>
          <w:sz w:val="24"/>
          <w:szCs w:val="24"/>
        </w:rPr>
        <w:t>为全面贯彻落实党和国家的教育方针，落实立德树人根本任务，加强社会主义核心价值观教育，激励学生全面发展，引导学生自觉提高综合素质，培养德智体美劳全面发展的社会主义建设者和接班人，依据教育部《普通高等学校学生管理规定》（教育部41号令），结合我校实际，特制定本办法。</w:t>
      </w:r>
    </w:p>
    <w:p w14:paraId="0E2F674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b/>
          <w:color w:val="auto"/>
          <w:sz w:val="24"/>
          <w:szCs w:val="24"/>
        </w:rPr>
      </w:pPr>
      <w:r>
        <w:rPr>
          <w:rFonts w:hint="eastAsia" w:ascii="宋体" w:hAnsi="宋体"/>
          <w:b/>
          <w:color w:val="auto"/>
          <w:sz w:val="24"/>
          <w:szCs w:val="24"/>
        </w:rPr>
        <w:t>第二条</w:t>
      </w:r>
      <w:r>
        <w:rPr>
          <w:rFonts w:hint="eastAsia" w:ascii="宋体" w:hAnsi="宋体"/>
          <w:color w:val="auto"/>
          <w:sz w:val="24"/>
          <w:szCs w:val="24"/>
        </w:rPr>
        <w:t xml:space="preserve">  综合素质测评是对学生在校表现进行的科学、系统的评价，测评结果作为评定奖学金和评优评先的重要依据。</w:t>
      </w:r>
    </w:p>
    <w:p w14:paraId="4058B18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第三条</w:t>
      </w:r>
      <w:r>
        <w:rPr>
          <w:rFonts w:hint="eastAsia" w:ascii="宋体" w:hAnsi="宋体"/>
          <w:color w:val="auto"/>
          <w:sz w:val="24"/>
          <w:szCs w:val="24"/>
        </w:rPr>
        <w:t xml:space="preserve">  综合素质测评应坚持以下原则：</w:t>
      </w:r>
    </w:p>
    <w:p w14:paraId="5F5D7F3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（一）科学性原则。综合测评要公正合理、实事求是，真正起到激励先进、鞭策后进、推进素质教育的作用。</w:t>
      </w:r>
    </w:p>
    <w:p w14:paraId="0CA2FD5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（二）客观性原则。综合测评要真实、准确、全面地反映学生平时表现的客观情况。</w:t>
      </w:r>
    </w:p>
    <w:p w14:paraId="6063C5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（三）公开性原则。综合测评中测评的标准、程序以及结果全部公开，并接受广大师生的监督。综合测评结果存入学生本人档案。</w:t>
      </w:r>
    </w:p>
    <w:p w14:paraId="6288AD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（四）公正性原则。综合测评要严格按照测评细则的统一标准执行，准确评价、规范操作、摒弃个人因素，确保测评过程及结果的公正。</w:t>
      </w:r>
    </w:p>
    <w:p w14:paraId="528E6A4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第四条</w:t>
      </w:r>
      <w:r>
        <w:rPr>
          <w:rFonts w:hint="eastAsia" w:ascii="宋体" w:hAnsi="宋体"/>
          <w:color w:val="auto"/>
          <w:sz w:val="24"/>
          <w:szCs w:val="24"/>
        </w:rPr>
        <w:t xml:space="preserve">  综合素质测评的指标体系</w:t>
      </w:r>
    </w:p>
    <w:p w14:paraId="4EAFCD6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综合素质测评包括德育、智育、体育、能力四个方面内容，各项满分为100分，分别按15%、70%、5%、10%的权重进行折算。</w:t>
      </w:r>
    </w:p>
    <w:p w14:paraId="207057F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第五条</w:t>
      </w:r>
      <w:r>
        <w:rPr>
          <w:rFonts w:hint="eastAsia" w:ascii="宋体" w:hAnsi="宋体"/>
          <w:color w:val="auto"/>
          <w:sz w:val="24"/>
          <w:szCs w:val="24"/>
        </w:rPr>
        <w:t xml:space="preserve">  综合素质测评成绩的评定</w:t>
      </w:r>
    </w:p>
    <w:p w14:paraId="56C5490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学年综合素质测评分=德育测评成绩×15%+智育测评成绩×70%+体育素质测试成绩×5%+能力测试成绩×10%。</w:t>
      </w:r>
    </w:p>
    <w:p w14:paraId="04672F6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第六条</w:t>
      </w:r>
      <w:r>
        <w:rPr>
          <w:rFonts w:hint="eastAsia" w:ascii="宋体" w:hAnsi="宋体"/>
          <w:color w:val="auto"/>
          <w:sz w:val="24"/>
          <w:szCs w:val="24"/>
        </w:rPr>
        <w:t xml:space="preserve">  综合素质测评成绩的计算要求</w:t>
      </w:r>
    </w:p>
    <w:p w14:paraId="53DD94E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color w:val="auto"/>
          <w:sz w:val="24"/>
          <w:szCs w:val="24"/>
        </w:rPr>
      </w:pPr>
      <w:r>
        <w:rPr>
          <w:rFonts w:hint="eastAsia" w:ascii="宋体" w:hAnsi="宋体"/>
          <w:color w:val="auto"/>
          <w:sz w:val="24"/>
          <w:szCs w:val="24"/>
        </w:rPr>
        <w:t>考评标准中凡同类项目加分，只计一次最高分，不重复累计。</w:t>
      </w:r>
    </w:p>
    <w:p w14:paraId="53ACE6B3">
      <w:pPr>
        <w:pStyle w:val="2"/>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color w:val="auto"/>
        </w:rPr>
      </w:pPr>
      <w:r>
        <w:rPr>
          <w:rFonts w:hint="eastAsia"/>
          <w:color w:val="auto"/>
        </w:rPr>
        <w:t>第二章  测评标准和计分方法</w:t>
      </w:r>
    </w:p>
    <w:p w14:paraId="7B4C6C8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第七条</w:t>
      </w:r>
      <w:r>
        <w:rPr>
          <w:rFonts w:hint="eastAsia" w:ascii="宋体" w:hAnsi="宋体"/>
          <w:color w:val="auto"/>
          <w:sz w:val="24"/>
          <w:szCs w:val="24"/>
        </w:rPr>
        <w:t xml:space="preserve">  德育素质的测评</w:t>
      </w:r>
    </w:p>
    <w:p w14:paraId="2C8D9D7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德育素质总分为100分，由基础分、应加分和应减分三部分组成。</w:t>
      </w:r>
    </w:p>
    <w:p w14:paraId="5EB8870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（一）德育基础分（70分）</w:t>
      </w:r>
    </w:p>
    <w:p w14:paraId="69D9285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基本要求如下：</w:t>
      </w:r>
    </w:p>
    <w:p w14:paraId="0597A0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1.坚持四项基本原则，在大是大非面前立场坚定，能用马克思主义的立场、观点、方法分析和处理问题。</w:t>
      </w:r>
    </w:p>
    <w:p w14:paraId="35F0553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2.遵纪守法，遵守社会公德，爱祖国、爱人民、爱科学、爱劳动、爱社会主义。</w:t>
      </w:r>
    </w:p>
    <w:p w14:paraId="7647AD2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3.自觉遵守《高等学校学生行为准则》，遵守校规校纪，有较强的爱校意识和主人翁意识。</w:t>
      </w:r>
    </w:p>
    <w:p w14:paraId="2E02BC9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4.热爱集体、团结同学、尊敬师长，厉行节约、爱护环境、珍惜资源，积极参加集体活动和公益活动。</w:t>
      </w:r>
    </w:p>
    <w:p w14:paraId="2D3022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5.认真参加政治理论学习，态度端正；积极参加形势与政策教育、新生入学教育等日常思想政治教育活动。</w:t>
      </w:r>
    </w:p>
    <w:p w14:paraId="0BE7C82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（二）德育加分</w:t>
      </w:r>
    </w:p>
    <w:p w14:paraId="7C3868A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好人好事奖励分：凡有勇于举报违法行为、勇于向违法行为作斗争、见义勇为、救死扶伤、拾金不昧等突出事迹者（有县级以上政府部门的通报表扬、感谢信或报刊等新闻媒介宣传报道，并经校学生处认定），受校</w:t>
      </w:r>
      <w:r>
        <w:rPr>
          <w:rFonts w:hint="eastAsia" w:ascii="宋体" w:hAnsi="宋体"/>
          <w:color w:val="auto"/>
          <w:spacing w:val="-6"/>
          <w:sz w:val="24"/>
          <w:szCs w:val="24"/>
        </w:rPr>
        <w:t>（市）级表彰者加10分，受省级表彰者加20分，受国家级表彰者加30分。</w:t>
      </w:r>
    </w:p>
    <w:p w14:paraId="65BD9F4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2.在宿舍文明评比活动中，获校级“文明宿舍”荣誉称号，宿舍所有成员加5分；获教学单位级“文明宿舍”荣誉称号，宿舍所有成员加3分。此项加分不超过10分</w:t>
      </w:r>
    </w:p>
    <w:p w14:paraId="5603B4A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rPr>
      </w:pPr>
      <w:r>
        <w:rPr>
          <w:rFonts w:hint="eastAsia" w:ascii="宋体" w:hAnsi="宋体"/>
          <w:color w:val="auto"/>
          <w:sz w:val="24"/>
          <w:szCs w:val="24"/>
        </w:rPr>
        <w:t>3.其他经教学单位认可的，可酌情加1-2分（最高不超过2分）。</w:t>
      </w:r>
    </w:p>
    <w:p w14:paraId="0D9868A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（三）德育减分</w:t>
      </w:r>
    </w:p>
    <w:p w14:paraId="0E9C0A8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1.有影响意识形态安全的言论或行为，破坏安定团结、扰乱校园和社会秩序者，德育素质项不得分。</w:t>
      </w:r>
    </w:p>
    <w:p w14:paraId="5708F50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2.违反校纪校规，受教学单位级通报批评者减5分；受警告、严重警告、记过、留校察看处分者，分别减15分、20分、25分和30分。如违纪学生为中共党员或学生干部，则在上述减分基础上再减10分。</w:t>
      </w:r>
    </w:p>
    <w:p w14:paraId="54849AB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3.有拖欠学费等不良诚信记录者，减20分。</w:t>
      </w:r>
    </w:p>
    <w:p w14:paraId="7A3191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4.凡上课、晚自习等活动，每缺勤1次减2分，迟到或早退2次按缺勤1次计。</w:t>
      </w:r>
    </w:p>
    <w:p w14:paraId="4E37CE6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5.中共党员以及在学校、教学单位各级学生组织和班级任职的学生干部，工作严重失职，对突发事件或恶性违法违纪案件不报告、不及时处理、不制止或不抢救的减15分；在事故中负有领导、组织责任者，减20分。</w:t>
      </w:r>
    </w:p>
    <w:p w14:paraId="758988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6.当学年宿舍评比中凡评为不合格宿舍或宿舍卫生学年总评分低于60分的，该宿舍舍长减5分，宿舍成员每人减4分。</w:t>
      </w:r>
    </w:p>
    <w:p w14:paraId="7381700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7.擅自外出住宿，屡教不改者，减10分。</w:t>
      </w:r>
    </w:p>
    <w:p w14:paraId="408C4CF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8.以上各条可累计减分，直至减完德育素质总分为止。</w:t>
      </w:r>
    </w:p>
    <w:p w14:paraId="0482FA2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（四）德育素质测评分的计算方法</w:t>
      </w:r>
    </w:p>
    <w:p w14:paraId="13621AE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德育素质测评成绩=基础分+应加分-应减分</w:t>
      </w:r>
    </w:p>
    <w:p w14:paraId="5240F33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德育素质测评分超过100分的按100分计。</w:t>
      </w:r>
    </w:p>
    <w:p w14:paraId="6652D63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第八条</w:t>
      </w:r>
      <w:r>
        <w:rPr>
          <w:rFonts w:hint="eastAsia" w:ascii="宋体" w:hAnsi="宋体"/>
          <w:color w:val="auto"/>
          <w:sz w:val="24"/>
          <w:szCs w:val="24"/>
        </w:rPr>
        <w:t xml:space="preserve">  智育素质测评</w:t>
      </w:r>
    </w:p>
    <w:p w14:paraId="4AC42DC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rPr>
      </w:pPr>
      <w:r>
        <w:rPr>
          <w:rFonts w:hint="eastAsia" w:ascii="宋体" w:hAnsi="宋体"/>
          <w:color w:val="auto"/>
          <w:sz w:val="24"/>
          <w:szCs w:val="24"/>
        </w:rPr>
        <w:t>智育素质测评成绩=学年内课程成绩之和/课程数</w:t>
      </w:r>
    </w:p>
    <w:p w14:paraId="57B129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说明：</w:t>
      </w:r>
    </w:p>
    <w:p w14:paraId="54E34F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1.课程是指按本专业培养计划规定的当学年应修读的所有课程，体育课和公共选修课不计入此项评分。</w:t>
      </w:r>
    </w:p>
    <w:p w14:paraId="0297C41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2.采用五级计分制的课程，其换算标准为：优-95分、良-85分、中-75分、及格-60分、不及格-40分。</w:t>
      </w:r>
    </w:p>
    <w:p w14:paraId="4040CE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3.因缓考而补考的课程按考后的成绩计算。其他情况补考的，补考通过的课程成绩以60分计，补考未通过的课程成绩按补考前分数计；考试作弊或无故旷考的，该门课程以0分计。</w:t>
      </w:r>
    </w:p>
    <w:p w14:paraId="1B092BC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rPr>
      </w:pPr>
      <w:r>
        <w:rPr>
          <w:rFonts w:hint="eastAsia" w:ascii="宋体" w:hAnsi="宋体"/>
          <w:color w:val="auto"/>
          <w:sz w:val="24"/>
          <w:szCs w:val="24"/>
        </w:rPr>
        <w:t>4.此项分数由教务系统提供。</w:t>
      </w:r>
    </w:p>
    <w:p w14:paraId="05DBA47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第九条</w:t>
      </w:r>
      <w:r>
        <w:rPr>
          <w:rFonts w:hint="eastAsia" w:ascii="宋体" w:hAnsi="宋体"/>
          <w:color w:val="auto"/>
          <w:sz w:val="24"/>
          <w:szCs w:val="24"/>
        </w:rPr>
        <w:t xml:space="preserve">  体育素质测评</w:t>
      </w:r>
    </w:p>
    <w:p w14:paraId="6E0C89C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（一）体育素质基础分</w:t>
      </w:r>
    </w:p>
    <w:p w14:paraId="5599D7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基础分=60+体育考试成绩×40%</w:t>
      </w:r>
    </w:p>
    <w:p w14:paraId="7BBA251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（二）体育加分</w:t>
      </w:r>
    </w:p>
    <w:p w14:paraId="028E617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1.当学年学生体质健康测试成绩达优秀的，加5分。</w:t>
      </w:r>
    </w:p>
    <w:p w14:paraId="6AB2A6B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2.学生参加各类体育竞赛活动，按如下标准加分</w:t>
      </w:r>
    </w:p>
    <w:tbl>
      <w:tblPr>
        <w:tblStyle w:val="4"/>
        <w:tblW w:w="47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4"/>
        <w:gridCol w:w="1013"/>
        <w:gridCol w:w="626"/>
        <w:gridCol w:w="557"/>
        <w:gridCol w:w="503"/>
        <w:gridCol w:w="538"/>
        <w:gridCol w:w="547"/>
        <w:gridCol w:w="551"/>
        <w:gridCol w:w="841"/>
        <w:gridCol w:w="679"/>
      </w:tblGrid>
      <w:tr w14:paraId="0B65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1402" w:type="pct"/>
            <w:tcBorders>
              <w:tl2br w:val="single" w:color="auto" w:sz="4" w:space="0"/>
            </w:tcBorders>
            <w:noWrap w:val="0"/>
            <w:vAlign w:val="center"/>
          </w:tcPr>
          <w:p w14:paraId="15AD034A">
            <w:pPr>
              <w:rPr>
                <w:rFonts w:hint="eastAsia" w:ascii="宋体" w:hAnsi="宋体"/>
                <w:b/>
                <w:bCs/>
                <w:color w:val="auto"/>
                <w:sz w:val="24"/>
              </w:rPr>
            </w:pPr>
            <w:r>
              <w:rPr>
                <w:rFonts w:hint="eastAsia" w:ascii="宋体" w:hAnsi="宋体"/>
                <w:b/>
                <w:bCs/>
                <w:color w:val="auto"/>
                <w:sz w:val="24"/>
              </w:rPr>
              <w:t xml:space="preserve">        名次</w:t>
            </w:r>
          </w:p>
          <w:p w14:paraId="2B7D1345">
            <w:pPr>
              <w:rPr>
                <w:rFonts w:hint="eastAsia" w:ascii="宋体" w:hAnsi="宋体"/>
                <w:b/>
                <w:bCs/>
                <w:color w:val="auto"/>
                <w:sz w:val="24"/>
              </w:rPr>
            </w:pPr>
            <w:r>
              <w:rPr>
                <w:rFonts w:hint="eastAsia" w:ascii="宋体" w:hAnsi="宋体"/>
                <w:b/>
                <w:bCs/>
                <w:color w:val="auto"/>
                <w:sz w:val="24"/>
              </w:rPr>
              <w:t>级别</w:t>
            </w:r>
          </w:p>
        </w:tc>
        <w:tc>
          <w:tcPr>
            <w:tcW w:w="622" w:type="pct"/>
            <w:noWrap w:val="0"/>
            <w:vAlign w:val="center"/>
          </w:tcPr>
          <w:p w14:paraId="293B4ED3">
            <w:pPr>
              <w:rPr>
                <w:rFonts w:hint="eastAsia" w:ascii="宋体" w:hAnsi="宋体"/>
                <w:b/>
                <w:bCs/>
                <w:color w:val="auto"/>
                <w:sz w:val="24"/>
              </w:rPr>
            </w:pPr>
            <w:r>
              <w:rPr>
                <w:rFonts w:hint="eastAsia" w:ascii="宋体" w:hAnsi="宋体"/>
                <w:b/>
                <w:bCs/>
                <w:color w:val="auto"/>
                <w:sz w:val="24"/>
              </w:rPr>
              <w:t>破纪录</w:t>
            </w:r>
          </w:p>
        </w:tc>
        <w:tc>
          <w:tcPr>
            <w:tcW w:w="384" w:type="pct"/>
            <w:noWrap w:val="0"/>
            <w:vAlign w:val="center"/>
          </w:tcPr>
          <w:p w14:paraId="379E60E2">
            <w:pPr>
              <w:jc w:val="center"/>
              <w:rPr>
                <w:rFonts w:hint="eastAsia" w:ascii="宋体" w:hAnsi="宋体"/>
                <w:b/>
                <w:bCs/>
                <w:color w:val="auto"/>
                <w:sz w:val="24"/>
              </w:rPr>
            </w:pPr>
            <w:r>
              <w:rPr>
                <w:rFonts w:hint="eastAsia" w:ascii="宋体" w:hAnsi="宋体"/>
                <w:b/>
                <w:bCs/>
                <w:color w:val="auto"/>
                <w:sz w:val="24"/>
              </w:rPr>
              <w:t>一</w:t>
            </w:r>
          </w:p>
        </w:tc>
        <w:tc>
          <w:tcPr>
            <w:tcW w:w="342" w:type="pct"/>
            <w:noWrap w:val="0"/>
            <w:vAlign w:val="center"/>
          </w:tcPr>
          <w:p w14:paraId="78B94733">
            <w:pPr>
              <w:jc w:val="center"/>
              <w:rPr>
                <w:rFonts w:hint="eastAsia" w:ascii="宋体" w:hAnsi="宋体"/>
                <w:b/>
                <w:bCs/>
                <w:color w:val="auto"/>
                <w:sz w:val="24"/>
              </w:rPr>
            </w:pPr>
            <w:r>
              <w:rPr>
                <w:rFonts w:hint="eastAsia" w:ascii="宋体" w:hAnsi="宋体"/>
                <w:b/>
                <w:bCs/>
                <w:color w:val="auto"/>
                <w:sz w:val="24"/>
              </w:rPr>
              <w:t>二</w:t>
            </w:r>
          </w:p>
        </w:tc>
        <w:tc>
          <w:tcPr>
            <w:tcW w:w="309" w:type="pct"/>
            <w:noWrap w:val="0"/>
            <w:vAlign w:val="center"/>
          </w:tcPr>
          <w:p w14:paraId="352EB093">
            <w:pPr>
              <w:jc w:val="center"/>
              <w:rPr>
                <w:rFonts w:hint="eastAsia" w:ascii="宋体" w:hAnsi="宋体"/>
                <w:b/>
                <w:bCs/>
                <w:color w:val="auto"/>
                <w:sz w:val="24"/>
              </w:rPr>
            </w:pPr>
            <w:r>
              <w:rPr>
                <w:rFonts w:hint="eastAsia" w:ascii="宋体" w:hAnsi="宋体"/>
                <w:b/>
                <w:bCs/>
                <w:color w:val="auto"/>
                <w:sz w:val="24"/>
              </w:rPr>
              <w:t>三</w:t>
            </w:r>
          </w:p>
        </w:tc>
        <w:tc>
          <w:tcPr>
            <w:tcW w:w="330" w:type="pct"/>
            <w:noWrap w:val="0"/>
            <w:vAlign w:val="center"/>
          </w:tcPr>
          <w:p w14:paraId="55610580">
            <w:pPr>
              <w:jc w:val="center"/>
              <w:rPr>
                <w:rFonts w:hint="eastAsia" w:ascii="宋体" w:hAnsi="宋体"/>
                <w:b/>
                <w:bCs/>
                <w:color w:val="auto"/>
                <w:sz w:val="24"/>
              </w:rPr>
            </w:pPr>
            <w:r>
              <w:rPr>
                <w:rFonts w:hint="eastAsia" w:ascii="宋体" w:hAnsi="宋体"/>
                <w:b/>
                <w:bCs/>
                <w:color w:val="auto"/>
                <w:sz w:val="24"/>
              </w:rPr>
              <w:t>四</w:t>
            </w:r>
          </w:p>
        </w:tc>
        <w:tc>
          <w:tcPr>
            <w:tcW w:w="336" w:type="pct"/>
            <w:noWrap w:val="0"/>
            <w:vAlign w:val="center"/>
          </w:tcPr>
          <w:p w14:paraId="1BF76D9B">
            <w:pPr>
              <w:jc w:val="center"/>
              <w:rPr>
                <w:rFonts w:hint="eastAsia" w:ascii="宋体" w:hAnsi="宋体"/>
                <w:b/>
                <w:bCs/>
                <w:color w:val="auto"/>
                <w:sz w:val="24"/>
              </w:rPr>
            </w:pPr>
            <w:r>
              <w:rPr>
                <w:rFonts w:hint="eastAsia" w:ascii="宋体" w:hAnsi="宋体"/>
                <w:b/>
                <w:bCs/>
                <w:color w:val="auto"/>
                <w:sz w:val="24"/>
              </w:rPr>
              <w:t>五</w:t>
            </w:r>
          </w:p>
        </w:tc>
        <w:tc>
          <w:tcPr>
            <w:tcW w:w="338" w:type="pct"/>
            <w:noWrap w:val="0"/>
            <w:vAlign w:val="center"/>
          </w:tcPr>
          <w:p w14:paraId="2FD2EE13">
            <w:pPr>
              <w:jc w:val="center"/>
              <w:rPr>
                <w:rFonts w:hint="eastAsia" w:ascii="宋体" w:hAnsi="宋体"/>
                <w:b/>
                <w:bCs/>
                <w:color w:val="auto"/>
                <w:sz w:val="24"/>
              </w:rPr>
            </w:pPr>
            <w:r>
              <w:rPr>
                <w:rFonts w:hint="eastAsia" w:ascii="宋体" w:hAnsi="宋体"/>
                <w:b/>
                <w:bCs/>
                <w:color w:val="auto"/>
                <w:sz w:val="24"/>
              </w:rPr>
              <w:t>六</w:t>
            </w:r>
          </w:p>
        </w:tc>
        <w:tc>
          <w:tcPr>
            <w:tcW w:w="516" w:type="pct"/>
            <w:noWrap w:val="0"/>
            <w:vAlign w:val="center"/>
          </w:tcPr>
          <w:p w14:paraId="0D7C9754">
            <w:pPr>
              <w:jc w:val="center"/>
              <w:rPr>
                <w:rFonts w:hint="eastAsia" w:ascii="宋体" w:hAnsi="宋体"/>
                <w:b/>
                <w:bCs/>
                <w:color w:val="auto"/>
                <w:sz w:val="24"/>
              </w:rPr>
            </w:pPr>
            <w:r>
              <w:rPr>
                <w:rFonts w:hint="eastAsia" w:ascii="宋体" w:hAnsi="宋体"/>
                <w:b/>
                <w:bCs/>
                <w:color w:val="auto"/>
                <w:sz w:val="24"/>
              </w:rPr>
              <w:t>七、八</w:t>
            </w:r>
          </w:p>
        </w:tc>
        <w:tc>
          <w:tcPr>
            <w:tcW w:w="417" w:type="pct"/>
            <w:noWrap w:val="0"/>
            <w:vAlign w:val="center"/>
          </w:tcPr>
          <w:p w14:paraId="60F9F052">
            <w:pPr>
              <w:jc w:val="center"/>
              <w:rPr>
                <w:rFonts w:hint="eastAsia" w:ascii="宋体" w:hAnsi="宋体"/>
                <w:b/>
                <w:bCs/>
                <w:color w:val="auto"/>
                <w:sz w:val="24"/>
              </w:rPr>
            </w:pPr>
            <w:r>
              <w:rPr>
                <w:rFonts w:hint="eastAsia" w:ascii="宋体" w:hAnsi="宋体"/>
                <w:b/>
                <w:bCs/>
                <w:color w:val="auto"/>
                <w:sz w:val="24"/>
              </w:rPr>
              <w:t>参加</w:t>
            </w:r>
          </w:p>
        </w:tc>
      </w:tr>
      <w:tr w14:paraId="1A9A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402" w:type="pct"/>
            <w:noWrap w:val="0"/>
            <w:vAlign w:val="center"/>
          </w:tcPr>
          <w:p w14:paraId="52A4D2B3">
            <w:pPr>
              <w:jc w:val="center"/>
              <w:rPr>
                <w:rFonts w:hint="eastAsia" w:ascii="宋体" w:hAnsi="宋体"/>
                <w:color w:val="auto"/>
                <w:sz w:val="24"/>
              </w:rPr>
            </w:pPr>
            <w:r>
              <w:rPr>
                <w:rFonts w:hint="eastAsia" w:ascii="宋体" w:hAnsi="宋体"/>
                <w:color w:val="auto"/>
                <w:sz w:val="24"/>
              </w:rPr>
              <w:t>国家级</w:t>
            </w:r>
          </w:p>
        </w:tc>
        <w:tc>
          <w:tcPr>
            <w:tcW w:w="622" w:type="pct"/>
            <w:noWrap w:val="0"/>
            <w:vAlign w:val="center"/>
          </w:tcPr>
          <w:p w14:paraId="532C6C58">
            <w:pPr>
              <w:jc w:val="center"/>
              <w:rPr>
                <w:rFonts w:hint="eastAsia" w:ascii="宋体" w:hAnsi="宋体"/>
                <w:color w:val="auto"/>
                <w:sz w:val="24"/>
              </w:rPr>
            </w:pPr>
            <w:r>
              <w:rPr>
                <w:rFonts w:hint="eastAsia" w:ascii="宋体" w:hAnsi="宋体"/>
                <w:color w:val="auto"/>
                <w:sz w:val="24"/>
              </w:rPr>
              <w:t>30</w:t>
            </w:r>
          </w:p>
        </w:tc>
        <w:tc>
          <w:tcPr>
            <w:tcW w:w="384" w:type="pct"/>
            <w:noWrap w:val="0"/>
            <w:vAlign w:val="center"/>
          </w:tcPr>
          <w:p w14:paraId="467DC28F">
            <w:pPr>
              <w:jc w:val="center"/>
              <w:rPr>
                <w:rFonts w:hint="eastAsia" w:ascii="宋体" w:hAnsi="宋体"/>
                <w:color w:val="auto"/>
                <w:sz w:val="24"/>
              </w:rPr>
            </w:pPr>
            <w:r>
              <w:rPr>
                <w:rFonts w:hint="eastAsia" w:ascii="宋体" w:hAnsi="宋体"/>
                <w:color w:val="auto"/>
                <w:sz w:val="24"/>
              </w:rPr>
              <w:t>20</w:t>
            </w:r>
          </w:p>
        </w:tc>
        <w:tc>
          <w:tcPr>
            <w:tcW w:w="342" w:type="pct"/>
            <w:noWrap w:val="0"/>
            <w:vAlign w:val="center"/>
          </w:tcPr>
          <w:p w14:paraId="16343966">
            <w:pPr>
              <w:jc w:val="center"/>
              <w:rPr>
                <w:rFonts w:hint="eastAsia" w:ascii="宋体" w:hAnsi="宋体"/>
                <w:color w:val="auto"/>
                <w:sz w:val="24"/>
              </w:rPr>
            </w:pPr>
            <w:r>
              <w:rPr>
                <w:rFonts w:hint="eastAsia" w:ascii="宋体" w:hAnsi="宋体"/>
                <w:color w:val="auto"/>
                <w:sz w:val="24"/>
              </w:rPr>
              <w:t>16</w:t>
            </w:r>
          </w:p>
        </w:tc>
        <w:tc>
          <w:tcPr>
            <w:tcW w:w="309" w:type="pct"/>
            <w:noWrap w:val="0"/>
            <w:vAlign w:val="center"/>
          </w:tcPr>
          <w:p w14:paraId="6BD3F2E7">
            <w:pPr>
              <w:jc w:val="center"/>
              <w:rPr>
                <w:rFonts w:hint="eastAsia" w:ascii="宋体" w:hAnsi="宋体"/>
                <w:color w:val="auto"/>
                <w:sz w:val="24"/>
              </w:rPr>
            </w:pPr>
            <w:r>
              <w:rPr>
                <w:rFonts w:hint="eastAsia" w:ascii="宋体" w:hAnsi="宋体"/>
                <w:color w:val="auto"/>
                <w:sz w:val="24"/>
              </w:rPr>
              <w:t>12</w:t>
            </w:r>
          </w:p>
        </w:tc>
        <w:tc>
          <w:tcPr>
            <w:tcW w:w="330" w:type="pct"/>
            <w:noWrap w:val="0"/>
            <w:vAlign w:val="center"/>
          </w:tcPr>
          <w:p w14:paraId="05E6DD50">
            <w:pPr>
              <w:jc w:val="center"/>
              <w:rPr>
                <w:rFonts w:hint="eastAsia" w:ascii="宋体" w:hAnsi="宋体"/>
                <w:color w:val="auto"/>
                <w:sz w:val="24"/>
              </w:rPr>
            </w:pPr>
            <w:r>
              <w:rPr>
                <w:rFonts w:hint="eastAsia" w:ascii="宋体" w:hAnsi="宋体"/>
                <w:color w:val="auto"/>
                <w:sz w:val="24"/>
              </w:rPr>
              <w:t>10</w:t>
            </w:r>
          </w:p>
        </w:tc>
        <w:tc>
          <w:tcPr>
            <w:tcW w:w="336" w:type="pct"/>
            <w:noWrap w:val="0"/>
            <w:vAlign w:val="center"/>
          </w:tcPr>
          <w:p w14:paraId="46D2D8E9">
            <w:pPr>
              <w:jc w:val="center"/>
              <w:rPr>
                <w:rFonts w:hint="eastAsia" w:ascii="宋体" w:hAnsi="宋体"/>
                <w:color w:val="auto"/>
                <w:sz w:val="24"/>
              </w:rPr>
            </w:pPr>
            <w:r>
              <w:rPr>
                <w:rFonts w:hint="eastAsia" w:ascii="宋体" w:hAnsi="宋体"/>
                <w:color w:val="auto"/>
                <w:sz w:val="24"/>
              </w:rPr>
              <w:t>8</w:t>
            </w:r>
          </w:p>
        </w:tc>
        <w:tc>
          <w:tcPr>
            <w:tcW w:w="338" w:type="pct"/>
            <w:noWrap w:val="0"/>
            <w:vAlign w:val="center"/>
          </w:tcPr>
          <w:p w14:paraId="5B9FE316">
            <w:pPr>
              <w:jc w:val="center"/>
              <w:rPr>
                <w:rFonts w:hint="eastAsia" w:ascii="宋体" w:hAnsi="宋体"/>
                <w:color w:val="auto"/>
                <w:sz w:val="24"/>
              </w:rPr>
            </w:pPr>
            <w:r>
              <w:rPr>
                <w:rFonts w:hint="eastAsia" w:ascii="宋体" w:hAnsi="宋体"/>
                <w:color w:val="auto"/>
                <w:sz w:val="24"/>
              </w:rPr>
              <w:t>7</w:t>
            </w:r>
          </w:p>
        </w:tc>
        <w:tc>
          <w:tcPr>
            <w:tcW w:w="516" w:type="pct"/>
            <w:noWrap w:val="0"/>
            <w:vAlign w:val="center"/>
          </w:tcPr>
          <w:p w14:paraId="5E2F3E44">
            <w:pPr>
              <w:jc w:val="center"/>
              <w:rPr>
                <w:rFonts w:hint="eastAsia" w:ascii="宋体" w:hAnsi="宋体"/>
                <w:color w:val="auto"/>
                <w:sz w:val="24"/>
              </w:rPr>
            </w:pPr>
            <w:r>
              <w:rPr>
                <w:rFonts w:hint="eastAsia" w:ascii="宋体" w:hAnsi="宋体"/>
                <w:color w:val="auto"/>
                <w:sz w:val="24"/>
              </w:rPr>
              <w:t>6</w:t>
            </w:r>
          </w:p>
        </w:tc>
        <w:tc>
          <w:tcPr>
            <w:tcW w:w="417" w:type="pct"/>
            <w:noWrap w:val="0"/>
            <w:vAlign w:val="center"/>
          </w:tcPr>
          <w:p w14:paraId="5B760D5A">
            <w:pPr>
              <w:jc w:val="center"/>
              <w:rPr>
                <w:rFonts w:hint="eastAsia" w:ascii="宋体" w:hAnsi="宋体"/>
                <w:color w:val="auto"/>
                <w:sz w:val="24"/>
              </w:rPr>
            </w:pPr>
            <w:r>
              <w:rPr>
                <w:rFonts w:hint="eastAsia" w:ascii="宋体" w:hAnsi="宋体"/>
                <w:color w:val="auto"/>
                <w:sz w:val="24"/>
              </w:rPr>
              <w:t>4</w:t>
            </w:r>
          </w:p>
        </w:tc>
      </w:tr>
      <w:tr w14:paraId="6025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2" w:type="pct"/>
            <w:noWrap w:val="0"/>
            <w:vAlign w:val="center"/>
          </w:tcPr>
          <w:p w14:paraId="79A0D211">
            <w:pPr>
              <w:jc w:val="center"/>
              <w:rPr>
                <w:rFonts w:hint="eastAsia" w:ascii="宋体" w:hAnsi="宋体"/>
                <w:color w:val="auto"/>
                <w:sz w:val="24"/>
              </w:rPr>
            </w:pPr>
            <w:r>
              <w:rPr>
                <w:rFonts w:hint="eastAsia" w:ascii="宋体" w:hAnsi="宋体"/>
                <w:color w:val="auto"/>
                <w:sz w:val="24"/>
              </w:rPr>
              <w:t>省级</w:t>
            </w:r>
          </w:p>
        </w:tc>
        <w:tc>
          <w:tcPr>
            <w:tcW w:w="622" w:type="pct"/>
            <w:noWrap w:val="0"/>
            <w:vAlign w:val="center"/>
          </w:tcPr>
          <w:p w14:paraId="1D61D86B">
            <w:pPr>
              <w:jc w:val="center"/>
              <w:rPr>
                <w:rFonts w:hint="eastAsia" w:ascii="宋体" w:hAnsi="宋体"/>
                <w:color w:val="auto"/>
                <w:sz w:val="24"/>
              </w:rPr>
            </w:pPr>
            <w:r>
              <w:rPr>
                <w:rFonts w:hint="eastAsia" w:ascii="宋体" w:hAnsi="宋体"/>
                <w:color w:val="auto"/>
                <w:sz w:val="24"/>
              </w:rPr>
              <w:t>20</w:t>
            </w:r>
          </w:p>
        </w:tc>
        <w:tc>
          <w:tcPr>
            <w:tcW w:w="384" w:type="pct"/>
            <w:noWrap w:val="0"/>
            <w:vAlign w:val="center"/>
          </w:tcPr>
          <w:p w14:paraId="60554F23">
            <w:pPr>
              <w:jc w:val="center"/>
              <w:rPr>
                <w:rFonts w:hint="eastAsia" w:ascii="宋体" w:hAnsi="宋体"/>
                <w:color w:val="auto"/>
                <w:sz w:val="24"/>
              </w:rPr>
            </w:pPr>
            <w:r>
              <w:rPr>
                <w:rFonts w:hint="eastAsia" w:ascii="宋体" w:hAnsi="宋体"/>
                <w:color w:val="auto"/>
                <w:sz w:val="24"/>
              </w:rPr>
              <w:t>16</w:t>
            </w:r>
          </w:p>
        </w:tc>
        <w:tc>
          <w:tcPr>
            <w:tcW w:w="342" w:type="pct"/>
            <w:noWrap w:val="0"/>
            <w:vAlign w:val="center"/>
          </w:tcPr>
          <w:p w14:paraId="6B3E3EBB">
            <w:pPr>
              <w:jc w:val="center"/>
              <w:rPr>
                <w:rFonts w:hint="eastAsia" w:ascii="宋体" w:hAnsi="宋体"/>
                <w:color w:val="auto"/>
                <w:sz w:val="24"/>
              </w:rPr>
            </w:pPr>
            <w:r>
              <w:rPr>
                <w:rFonts w:hint="eastAsia" w:ascii="宋体" w:hAnsi="宋体"/>
                <w:color w:val="auto"/>
                <w:sz w:val="24"/>
              </w:rPr>
              <w:t>12</w:t>
            </w:r>
          </w:p>
        </w:tc>
        <w:tc>
          <w:tcPr>
            <w:tcW w:w="309" w:type="pct"/>
            <w:noWrap w:val="0"/>
            <w:vAlign w:val="center"/>
          </w:tcPr>
          <w:p w14:paraId="08B42BE9">
            <w:pPr>
              <w:jc w:val="center"/>
              <w:rPr>
                <w:rFonts w:hint="eastAsia" w:ascii="宋体" w:hAnsi="宋体"/>
                <w:color w:val="auto"/>
                <w:sz w:val="24"/>
              </w:rPr>
            </w:pPr>
            <w:r>
              <w:rPr>
                <w:rFonts w:hint="eastAsia" w:ascii="宋体" w:hAnsi="宋体"/>
                <w:color w:val="auto"/>
                <w:sz w:val="24"/>
              </w:rPr>
              <w:t>10</w:t>
            </w:r>
          </w:p>
        </w:tc>
        <w:tc>
          <w:tcPr>
            <w:tcW w:w="330" w:type="pct"/>
            <w:noWrap w:val="0"/>
            <w:vAlign w:val="center"/>
          </w:tcPr>
          <w:p w14:paraId="4D025329">
            <w:pPr>
              <w:jc w:val="center"/>
              <w:rPr>
                <w:rFonts w:hint="eastAsia" w:ascii="宋体" w:hAnsi="宋体"/>
                <w:color w:val="auto"/>
                <w:sz w:val="24"/>
              </w:rPr>
            </w:pPr>
            <w:r>
              <w:rPr>
                <w:rFonts w:hint="eastAsia" w:ascii="宋体" w:hAnsi="宋体"/>
                <w:color w:val="auto"/>
                <w:sz w:val="24"/>
              </w:rPr>
              <w:t>8</w:t>
            </w:r>
          </w:p>
        </w:tc>
        <w:tc>
          <w:tcPr>
            <w:tcW w:w="336" w:type="pct"/>
            <w:noWrap w:val="0"/>
            <w:vAlign w:val="center"/>
          </w:tcPr>
          <w:p w14:paraId="23255EAB">
            <w:pPr>
              <w:jc w:val="center"/>
              <w:rPr>
                <w:rFonts w:hint="eastAsia" w:ascii="宋体" w:hAnsi="宋体"/>
                <w:color w:val="auto"/>
                <w:sz w:val="24"/>
              </w:rPr>
            </w:pPr>
            <w:r>
              <w:rPr>
                <w:rFonts w:hint="eastAsia" w:ascii="宋体" w:hAnsi="宋体"/>
                <w:color w:val="auto"/>
                <w:sz w:val="24"/>
              </w:rPr>
              <w:t>5</w:t>
            </w:r>
          </w:p>
        </w:tc>
        <w:tc>
          <w:tcPr>
            <w:tcW w:w="338" w:type="pct"/>
            <w:noWrap w:val="0"/>
            <w:vAlign w:val="center"/>
          </w:tcPr>
          <w:p w14:paraId="4917E557">
            <w:pPr>
              <w:jc w:val="center"/>
              <w:rPr>
                <w:rFonts w:hint="eastAsia" w:ascii="宋体" w:hAnsi="宋体"/>
                <w:color w:val="auto"/>
                <w:sz w:val="24"/>
              </w:rPr>
            </w:pPr>
            <w:r>
              <w:rPr>
                <w:rFonts w:hint="eastAsia" w:ascii="宋体" w:hAnsi="宋体"/>
                <w:color w:val="auto"/>
                <w:sz w:val="24"/>
              </w:rPr>
              <w:t>4</w:t>
            </w:r>
          </w:p>
        </w:tc>
        <w:tc>
          <w:tcPr>
            <w:tcW w:w="516" w:type="pct"/>
            <w:noWrap w:val="0"/>
            <w:vAlign w:val="center"/>
          </w:tcPr>
          <w:p w14:paraId="1E35A6A6">
            <w:pPr>
              <w:jc w:val="center"/>
              <w:rPr>
                <w:rFonts w:hint="eastAsia" w:ascii="宋体" w:hAnsi="宋体"/>
                <w:color w:val="auto"/>
                <w:sz w:val="24"/>
              </w:rPr>
            </w:pPr>
            <w:r>
              <w:rPr>
                <w:rFonts w:hint="eastAsia" w:ascii="宋体" w:hAnsi="宋体"/>
                <w:color w:val="auto"/>
                <w:sz w:val="24"/>
              </w:rPr>
              <w:t>3</w:t>
            </w:r>
          </w:p>
        </w:tc>
        <w:tc>
          <w:tcPr>
            <w:tcW w:w="417" w:type="pct"/>
            <w:noWrap w:val="0"/>
            <w:vAlign w:val="center"/>
          </w:tcPr>
          <w:p w14:paraId="398A0C8C">
            <w:pPr>
              <w:jc w:val="center"/>
              <w:rPr>
                <w:rFonts w:hint="eastAsia" w:ascii="宋体" w:hAnsi="宋体"/>
                <w:color w:val="auto"/>
                <w:sz w:val="24"/>
              </w:rPr>
            </w:pPr>
            <w:r>
              <w:rPr>
                <w:rFonts w:hint="eastAsia" w:ascii="宋体" w:hAnsi="宋体"/>
                <w:color w:val="auto"/>
                <w:sz w:val="24"/>
              </w:rPr>
              <w:t>2</w:t>
            </w:r>
          </w:p>
        </w:tc>
      </w:tr>
      <w:tr w14:paraId="2B9D6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402" w:type="pct"/>
            <w:noWrap w:val="0"/>
            <w:vAlign w:val="center"/>
          </w:tcPr>
          <w:p w14:paraId="0975E5AA">
            <w:pPr>
              <w:jc w:val="center"/>
              <w:rPr>
                <w:rFonts w:hint="eastAsia" w:ascii="宋体" w:hAnsi="宋体"/>
                <w:color w:val="auto"/>
                <w:sz w:val="24"/>
              </w:rPr>
            </w:pPr>
            <w:r>
              <w:rPr>
                <w:rFonts w:hint="eastAsia" w:ascii="宋体" w:hAnsi="宋体"/>
                <w:color w:val="auto"/>
                <w:sz w:val="24"/>
              </w:rPr>
              <w:t>市、校级</w:t>
            </w:r>
          </w:p>
        </w:tc>
        <w:tc>
          <w:tcPr>
            <w:tcW w:w="622" w:type="pct"/>
            <w:noWrap w:val="0"/>
            <w:vAlign w:val="center"/>
          </w:tcPr>
          <w:p w14:paraId="65138244">
            <w:pPr>
              <w:jc w:val="center"/>
              <w:rPr>
                <w:rFonts w:hint="eastAsia" w:ascii="宋体" w:hAnsi="宋体"/>
                <w:color w:val="auto"/>
                <w:sz w:val="24"/>
              </w:rPr>
            </w:pPr>
            <w:r>
              <w:rPr>
                <w:rFonts w:hint="eastAsia" w:ascii="宋体" w:hAnsi="宋体"/>
                <w:color w:val="auto"/>
                <w:sz w:val="24"/>
              </w:rPr>
              <w:t>14</w:t>
            </w:r>
          </w:p>
        </w:tc>
        <w:tc>
          <w:tcPr>
            <w:tcW w:w="384" w:type="pct"/>
            <w:noWrap w:val="0"/>
            <w:vAlign w:val="center"/>
          </w:tcPr>
          <w:p w14:paraId="6860E542">
            <w:pPr>
              <w:jc w:val="center"/>
              <w:rPr>
                <w:rFonts w:hint="eastAsia" w:ascii="宋体" w:hAnsi="宋体"/>
                <w:color w:val="auto"/>
                <w:sz w:val="24"/>
              </w:rPr>
            </w:pPr>
            <w:r>
              <w:rPr>
                <w:rFonts w:hint="eastAsia" w:ascii="宋体" w:hAnsi="宋体"/>
                <w:color w:val="auto"/>
                <w:sz w:val="24"/>
              </w:rPr>
              <w:t>10</w:t>
            </w:r>
          </w:p>
        </w:tc>
        <w:tc>
          <w:tcPr>
            <w:tcW w:w="342" w:type="pct"/>
            <w:noWrap w:val="0"/>
            <w:vAlign w:val="center"/>
          </w:tcPr>
          <w:p w14:paraId="1259BE38">
            <w:pPr>
              <w:jc w:val="center"/>
              <w:rPr>
                <w:rFonts w:hint="eastAsia" w:ascii="宋体" w:hAnsi="宋体"/>
                <w:color w:val="auto"/>
                <w:sz w:val="24"/>
              </w:rPr>
            </w:pPr>
            <w:r>
              <w:rPr>
                <w:rFonts w:hint="eastAsia" w:ascii="宋体" w:hAnsi="宋体"/>
                <w:color w:val="auto"/>
                <w:sz w:val="24"/>
              </w:rPr>
              <w:t>8</w:t>
            </w:r>
          </w:p>
        </w:tc>
        <w:tc>
          <w:tcPr>
            <w:tcW w:w="309" w:type="pct"/>
            <w:noWrap w:val="0"/>
            <w:vAlign w:val="center"/>
          </w:tcPr>
          <w:p w14:paraId="2D29F7E1">
            <w:pPr>
              <w:jc w:val="center"/>
              <w:rPr>
                <w:rFonts w:hint="eastAsia" w:ascii="宋体" w:hAnsi="宋体"/>
                <w:color w:val="auto"/>
                <w:sz w:val="24"/>
              </w:rPr>
            </w:pPr>
            <w:r>
              <w:rPr>
                <w:rFonts w:hint="eastAsia" w:ascii="宋体" w:hAnsi="宋体"/>
                <w:color w:val="auto"/>
                <w:sz w:val="24"/>
              </w:rPr>
              <w:t>6</w:t>
            </w:r>
          </w:p>
        </w:tc>
        <w:tc>
          <w:tcPr>
            <w:tcW w:w="330" w:type="pct"/>
            <w:noWrap w:val="0"/>
            <w:vAlign w:val="center"/>
          </w:tcPr>
          <w:p w14:paraId="7930B062">
            <w:pPr>
              <w:jc w:val="center"/>
              <w:rPr>
                <w:rFonts w:hint="eastAsia" w:ascii="宋体" w:hAnsi="宋体"/>
                <w:color w:val="auto"/>
                <w:sz w:val="24"/>
              </w:rPr>
            </w:pPr>
            <w:r>
              <w:rPr>
                <w:rFonts w:hint="eastAsia" w:ascii="宋体" w:hAnsi="宋体"/>
                <w:color w:val="auto"/>
                <w:sz w:val="24"/>
              </w:rPr>
              <w:t>4</w:t>
            </w:r>
          </w:p>
        </w:tc>
        <w:tc>
          <w:tcPr>
            <w:tcW w:w="336" w:type="pct"/>
            <w:noWrap w:val="0"/>
            <w:vAlign w:val="center"/>
          </w:tcPr>
          <w:p w14:paraId="56BA8616">
            <w:pPr>
              <w:jc w:val="center"/>
              <w:rPr>
                <w:rFonts w:hint="eastAsia" w:ascii="宋体" w:hAnsi="宋体"/>
                <w:color w:val="auto"/>
                <w:sz w:val="24"/>
              </w:rPr>
            </w:pPr>
            <w:r>
              <w:rPr>
                <w:rFonts w:hint="eastAsia" w:ascii="宋体" w:hAnsi="宋体"/>
                <w:color w:val="auto"/>
                <w:sz w:val="24"/>
              </w:rPr>
              <w:t>3</w:t>
            </w:r>
          </w:p>
        </w:tc>
        <w:tc>
          <w:tcPr>
            <w:tcW w:w="338" w:type="pct"/>
            <w:noWrap w:val="0"/>
            <w:vAlign w:val="center"/>
          </w:tcPr>
          <w:p w14:paraId="27D5CC8F">
            <w:pPr>
              <w:jc w:val="center"/>
              <w:rPr>
                <w:rFonts w:hint="eastAsia" w:ascii="宋体" w:hAnsi="宋体"/>
                <w:color w:val="auto"/>
                <w:sz w:val="24"/>
              </w:rPr>
            </w:pPr>
            <w:r>
              <w:rPr>
                <w:rFonts w:hint="eastAsia" w:ascii="宋体" w:hAnsi="宋体"/>
                <w:color w:val="auto"/>
                <w:sz w:val="24"/>
              </w:rPr>
              <w:t>2</w:t>
            </w:r>
          </w:p>
        </w:tc>
        <w:tc>
          <w:tcPr>
            <w:tcW w:w="516" w:type="pct"/>
            <w:noWrap w:val="0"/>
            <w:vAlign w:val="center"/>
          </w:tcPr>
          <w:p w14:paraId="66A20C9E">
            <w:pPr>
              <w:jc w:val="center"/>
              <w:rPr>
                <w:rFonts w:hint="eastAsia" w:ascii="宋体" w:hAnsi="宋体"/>
                <w:color w:val="auto"/>
                <w:sz w:val="24"/>
              </w:rPr>
            </w:pPr>
            <w:r>
              <w:rPr>
                <w:rFonts w:hint="eastAsia" w:ascii="宋体" w:hAnsi="宋体"/>
                <w:color w:val="auto"/>
                <w:sz w:val="24"/>
              </w:rPr>
              <w:t>1.5</w:t>
            </w:r>
          </w:p>
        </w:tc>
        <w:tc>
          <w:tcPr>
            <w:tcW w:w="417" w:type="pct"/>
            <w:noWrap w:val="0"/>
            <w:vAlign w:val="center"/>
          </w:tcPr>
          <w:p w14:paraId="32892102">
            <w:pPr>
              <w:jc w:val="center"/>
              <w:rPr>
                <w:rFonts w:hint="eastAsia" w:ascii="宋体" w:hAnsi="宋体"/>
                <w:color w:val="auto"/>
                <w:sz w:val="24"/>
              </w:rPr>
            </w:pPr>
            <w:r>
              <w:rPr>
                <w:rFonts w:hint="eastAsia" w:ascii="宋体" w:hAnsi="宋体"/>
                <w:color w:val="auto"/>
                <w:sz w:val="24"/>
              </w:rPr>
              <w:t>1</w:t>
            </w:r>
          </w:p>
        </w:tc>
      </w:tr>
      <w:tr w14:paraId="17F2A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402" w:type="pct"/>
            <w:noWrap w:val="0"/>
            <w:vAlign w:val="center"/>
          </w:tcPr>
          <w:p w14:paraId="3F79B3A1">
            <w:pPr>
              <w:jc w:val="center"/>
              <w:rPr>
                <w:rFonts w:hint="eastAsia" w:ascii="宋体" w:hAnsi="宋体"/>
                <w:color w:val="auto"/>
                <w:sz w:val="24"/>
              </w:rPr>
            </w:pPr>
            <w:r>
              <w:rPr>
                <w:rFonts w:hint="eastAsia" w:ascii="宋体" w:hAnsi="宋体"/>
                <w:color w:val="auto"/>
                <w:sz w:val="24"/>
              </w:rPr>
              <w:t>教学单位级</w:t>
            </w:r>
          </w:p>
        </w:tc>
        <w:tc>
          <w:tcPr>
            <w:tcW w:w="622" w:type="pct"/>
            <w:noWrap w:val="0"/>
            <w:vAlign w:val="center"/>
          </w:tcPr>
          <w:p w14:paraId="5D4C98DF">
            <w:pPr>
              <w:jc w:val="center"/>
              <w:rPr>
                <w:rFonts w:hint="eastAsia" w:ascii="宋体" w:hAnsi="宋体"/>
                <w:color w:val="auto"/>
                <w:sz w:val="24"/>
              </w:rPr>
            </w:pPr>
            <w:r>
              <w:rPr>
                <w:rFonts w:hint="eastAsia" w:ascii="宋体" w:hAnsi="宋体"/>
                <w:color w:val="auto"/>
                <w:sz w:val="24"/>
              </w:rPr>
              <w:t>10</w:t>
            </w:r>
          </w:p>
        </w:tc>
        <w:tc>
          <w:tcPr>
            <w:tcW w:w="384" w:type="pct"/>
            <w:noWrap w:val="0"/>
            <w:vAlign w:val="center"/>
          </w:tcPr>
          <w:p w14:paraId="14504A8C">
            <w:pPr>
              <w:jc w:val="center"/>
              <w:rPr>
                <w:rFonts w:hint="eastAsia" w:ascii="宋体" w:hAnsi="宋体"/>
                <w:color w:val="auto"/>
                <w:sz w:val="24"/>
              </w:rPr>
            </w:pPr>
            <w:r>
              <w:rPr>
                <w:rFonts w:hint="eastAsia" w:ascii="宋体" w:hAnsi="宋体"/>
                <w:color w:val="auto"/>
                <w:sz w:val="24"/>
              </w:rPr>
              <w:t>6</w:t>
            </w:r>
          </w:p>
        </w:tc>
        <w:tc>
          <w:tcPr>
            <w:tcW w:w="342" w:type="pct"/>
            <w:noWrap w:val="0"/>
            <w:vAlign w:val="center"/>
          </w:tcPr>
          <w:p w14:paraId="64D6D8ED">
            <w:pPr>
              <w:jc w:val="center"/>
              <w:rPr>
                <w:rFonts w:hint="eastAsia" w:ascii="宋体" w:hAnsi="宋体"/>
                <w:color w:val="auto"/>
                <w:sz w:val="24"/>
              </w:rPr>
            </w:pPr>
            <w:r>
              <w:rPr>
                <w:rFonts w:hint="eastAsia" w:ascii="宋体" w:hAnsi="宋体"/>
                <w:color w:val="auto"/>
                <w:sz w:val="24"/>
              </w:rPr>
              <w:t>5</w:t>
            </w:r>
          </w:p>
        </w:tc>
        <w:tc>
          <w:tcPr>
            <w:tcW w:w="309" w:type="pct"/>
            <w:noWrap w:val="0"/>
            <w:vAlign w:val="center"/>
          </w:tcPr>
          <w:p w14:paraId="7091C171">
            <w:pPr>
              <w:jc w:val="center"/>
              <w:rPr>
                <w:rFonts w:hint="eastAsia" w:ascii="宋体" w:hAnsi="宋体"/>
                <w:color w:val="auto"/>
                <w:sz w:val="24"/>
              </w:rPr>
            </w:pPr>
            <w:r>
              <w:rPr>
                <w:rFonts w:hint="eastAsia" w:ascii="宋体" w:hAnsi="宋体"/>
                <w:color w:val="auto"/>
                <w:sz w:val="24"/>
              </w:rPr>
              <w:t>4</w:t>
            </w:r>
          </w:p>
        </w:tc>
        <w:tc>
          <w:tcPr>
            <w:tcW w:w="330" w:type="pct"/>
            <w:noWrap w:val="0"/>
            <w:vAlign w:val="center"/>
          </w:tcPr>
          <w:p w14:paraId="00CE48D2">
            <w:pPr>
              <w:jc w:val="center"/>
              <w:rPr>
                <w:rFonts w:hint="eastAsia" w:ascii="宋体" w:hAnsi="宋体"/>
                <w:color w:val="auto"/>
                <w:sz w:val="24"/>
              </w:rPr>
            </w:pPr>
            <w:r>
              <w:rPr>
                <w:rFonts w:hint="eastAsia" w:ascii="宋体" w:hAnsi="宋体"/>
                <w:color w:val="auto"/>
                <w:sz w:val="24"/>
              </w:rPr>
              <w:t>3</w:t>
            </w:r>
          </w:p>
        </w:tc>
        <w:tc>
          <w:tcPr>
            <w:tcW w:w="336" w:type="pct"/>
            <w:noWrap w:val="0"/>
            <w:vAlign w:val="center"/>
          </w:tcPr>
          <w:p w14:paraId="7E004B5C">
            <w:pPr>
              <w:jc w:val="center"/>
              <w:rPr>
                <w:rFonts w:hint="eastAsia" w:ascii="宋体" w:hAnsi="宋体"/>
                <w:color w:val="auto"/>
                <w:sz w:val="24"/>
              </w:rPr>
            </w:pPr>
            <w:r>
              <w:rPr>
                <w:rFonts w:hint="eastAsia" w:ascii="宋体" w:hAnsi="宋体"/>
                <w:color w:val="auto"/>
                <w:sz w:val="24"/>
              </w:rPr>
              <w:t>2</w:t>
            </w:r>
          </w:p>
        </w:tc>
        <w:tc>
          <w:tcPr>
            <w:tcW w:w="338" w:type="pct"/>
            <w:noWrap w:val="0"/>
            <w:vAlign w:val="center"/>
          </w:tcPr>
          <w:p w14:paraId="4A2F0D69">
            <w:pPr>
              <w:jc w:val="center"/>
              <w:rPr>
                <w:rFonts w:hint="eastAsia" w:ascii="宋体" w:hAnsi="宋体"/>
                <w:color w:val="auto"/>
                <w:sz w:val="24"/>
              </w:rPr>
            </w:pPr>
            <w:r>
              <w:rPr>
                <w:rFonts w:hint="eastAsia" w:ascii="宋体" w:hAnsi="宋体"/>
                <w:color w:val="auto"/>
                <w:sz w:val="24"/>
              </w:rPr>
              <w:t>1</w:t>
            </w:r>
          </w:p>
        </w:tc>
        <w:tc>
          <w:tcPr>
            <w:tcW w:w="516" w:type="pct"/>
            <w:noWrap w:val="0"/>
            <w:vAlign w:val="center"/>
          </w:tcPr>
          <w:p w14:paraId="63C1C7FB">
            <w:pPr>
              <w:jc w:val="center"/>
              <w:rPr>
                <w:rFonts w:hint="eastAsia" w:ascii="宋体" w:hAnsi="宋体"/>
                <w:color w:val="auto"/>
                <w:sz w:val="24"/>
              </w:rPr>
            </w:pPr>
            <w:r>
              <w:rPr>
                <w:rFonts w:hint="eastAsia" w:ascii="宋体" w:hAnsi="宋体"/>
                <w:color w:val="auto"/>
                <w:sz w:val="24"/>
              </w:rPr>
              <w:t>0.8</w:t>
            </w:r>
          </w:p>
        </w:tc>
        <w:tc>
          <w:tcPr>
            <w:tcW w:w="417" w:type="pct"/>
            <w:noWrap w:val="0"/>
            <w:vAlign w:val="center"/>
          </w:tcPr>
          <w:p w14:paraId="4665E6BF">
            <w:pPr>
              <w:jc w:val="center"/>
              <w:rPr>
                <w:rFonts w:hint="eastAsia" w:ascii="宋体" w:hAnsi="宋体"/>
                <w:color w:val="auto"/>
                <w:sz w:val="24"/>
              </w:rPr>
            </w:pPr>
            <w:r>
              <w:rPr>
                <w:rFonts w:hint="eastAsia" w:ascii="宋体" w:hAnsi="宋体"/>
                <w:color w:val="auto"/>
                <w:sz w:val="24"/>
              </w:rPr>
              <w:t>0.5</w:t>
            </w:r>
          </w:p>
        </w:tc>
      </w:tr>
    </w:tbl>
    <w:p w14:paraId="507D574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olor w:val="auto"/>
          <w:sz w:val="24"/>
          <w:szCs w:val="24"/>
        </w:rPr>
      </w:pPr>
      <w:r>
        <w:rPr>
          <w:rFonts w:hint="eastAsia" w:ascii="宋体" w:hAnsi="宋体"/>
          <w:color w:val="auto"/>
          <w:sz w:val="24"/>
          <w:szCs w:val="24"/>
        </w:rPr>
        <w:t>说明：集体项目的非主力队员按上述标准减半加分，各班组织的体育竞赛活动的前六名按教学单位级竞赛名次的前六名分数减半加分。各类体育竞赛参加后中途退出者不予加分。</w:t>
      </w:r>
    </w:p>
    <w:p w14:paraId="0005475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（三）体育减分</w:t>
      </w:r>
    </w:p>
    <w:p w14:paraId="579DEC67">
      <w:pPr>
        <w:keepNext w:val="0"/>
        <w:keepLines w:val="0"/>
        <w:pageBreakBefore w:val="0"/>
        <w:widowControl w:val="0"/>
        <w:kinsoku/>
        <w:wordWrap/>
        <w:overflowPunct/>
        <w:topLinePunct w:val="0"/>
        <w:autoSpaceDE/>
        <w:autoSpaceDN/>
        <w:bidi w:val="0"/>
        <w:adjustRightInd/>
        <w:snapToGrid/>
        <w:spacing w:line="400" w:lineRule="exact"/>
        <w:ind w:firstLine="456" w:firstLineChars="200"/>
        <w:textAlignment w:val="auto"/>
        <w:rPr>
          <w:rFonts w:hint="eastAsia" w:ascii="宋体" w:hAnsi="宋体"/>
          <w:color w:val="auto"/>
          <w:spacing w:val="-6"/>
          <w:sz w:val="24"/>
          <w:szCs w:val="24"/>
        </w:rPr>
      </w:pPr>
      <w:r>
        <w:rPr>
          <w:rFonts w:hint="eastAsia" w:ascii="宋体" w:hAnsi="宋体"/>
          <w:color w:val="auto"/>
          <w:spacing w:val="-6"/>
          <w:sz w:val="24"/>
          <w:szCs w:val="24"/>
        </w:rPr>
        <w:t>当学年学生体质健康测试成绩不及格或体育课成绩不合格的，减5分。</w:t>
      </w:r>
    </w:p>
    <w:p w14:paraId="3E1F696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（四）体育素质测评成绩的计算方法</w:t>
      </w:r>
    </w:p>
    <w:p w14:paraId="43D405D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体育素质测评成绩=基础分+应加分-应减分</w:t>
      </w:r>
    </w:p>
    <w:p w14:paraId="2A30BE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体育素质测评分超过100分的按100分计。</w:t>
      </w:r>
    </w:p>
    <w:p w14:paraId="71C0B7EA">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第十条</w:t>
      </w:r>
      <w:r>
        <w:rPr>
          <w:rFonts w:hint="eastAsia" w:ascii="宋体" w:hAnsi="宋体"/>
          <w:color w:val="auto"/>
          <w:sz w:val="24"/>
          <w:szCs w:val="24"/>
        </w:rPr>
        <w:t xml:space="preserve">  能力素质测评</w:t>
      </w:r>
    </w:p>
    <w:p w14:paraId="213294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能力素质测评总分为100分，由基础分、应加分和应减分三部分组成。</w:t>
      </w:r>
    </w:p>
    <w:p w14:paraId="66DC5DA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（一）能力基础分（20分）</w:t>
      </w:r>
    </w:p>
    <w:p w14:paraId="2E200D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1.积极参加大学生小制作、小发明、小创造等科研活动；</w:t>
      </w:r>
    </w:p>
    <w:p w14:paraId="116FC7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2.积极拓展个人能力，参加与专业学习相关的学科竞赛等群众性科技实践活动等；</w:t>
      </w:r>
    </w:p>
    <w:p w14:paraId="533969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3.积极参加学生工作、各种社会实践活动、勤工助学活动以及各类劳动活动等；</w:t>
      </w:r>
    </w:p>
    <w:p w14:paraId="2FCA391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pacing w:val="-6"/>
          <w:sz w:val="24"/>
          <w:szCs w:val="24"/>
        </w:rPr>
      </w:pPr>
      <w:r>
        <w:rPr>
          <w:rFonts w:hint="eastAsia" w:ascii="宋体" w:hAnsi="宋体"/>
          <w:color w:val="auto"/>
          <w:sz w:val="24"/>
          <w:szCs w:val="24"/>
        </w:rPr>
        <w:t>4.</w:t>
      </w:r>
      <w:r>
        <w:rPr>
          <w:rFonts w:hint="eastAsia" w:ascii="宋体" w:hAnsi="宋体"/>
          <w:color w:val="auto"/>
          <w:spacing w:val="-6"/>
          <w:sz w:val="24"/>
          <w:szCs w:val="24"/>
        </w:rPr>
        <w:t>积极参加学校要求参加各类专业实习、集体活动、文艺及美育活动等。</w:t>
      </w:r>
    </w:p>
    <w:p w14:paraId="611B1A0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（二）能力加分</w:t>
      </w:r>
    </w:p>
    <w:p w14:paraId="1779536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1.凡获得由正规权威部门颁发的各种专业技能、职业技能等素质拓展证书（由班级考评小组负责审核原件，教学单位核查），按如下标准加分：</w:t>
      </w:r>
    </w:p>
    <w:p w14:paraId="50F7C8C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（1）通过英语等级考试加分值</w:t>
      </w:r>
    </w:p>
    <w:p w14:paraId="15E62F8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通过大学英语B级考试的，加5分；通过大学英语A级考试的，加10分；通过大学英语四级考试的，加15分；通过大学英语六级考试的，加20分。</w:t>
      </w:r>
    </w:p>
    <w:p w14:paraId="2717E37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通过全国高校（安徽考区）计算机水平考试（CCT）一级的，加5分；通过全国高校（安徽考区）计算机水平考试（CCT）二级的，加10分；通过全国计算机等级考试一、二级的，加15分；通过全国计算机等级考试三、四级的，加20分。</w:t>
      </w:r>
    </w:p>
    <w:p w14:paraId="746CBF8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宋体" w:hAnsi="宋体"/>
          <w:color w:val="auto"/>
          <w:sz w:val="24"/>
          <w:szCs w:val="24"/>
        </w:rPr>
      </w:pPr>
      <w:r>
        <w:rPr>
          <w:rFonts w:hint="eastAsia" w:ascii="宋体" w:hAnsi="宋体"/>
          <w:color w:val="auto"/>
          <w:sz w:val="24"/>
          <w:szCs w:val="24"/>
        </w:rPr>
        <w:t>（3）取得普通话等级二级乙等以上，加5分。</w:t>
      </w:r>
    </w:p>
    <w:p w14:paraId="5FFD5A0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（4）取得各类行业证书者在获得证书的当学年加5分。</w:t>
      </w:r>
    </w:p>
    <w:p w14:paraId="08BE687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2.学生干部根据其在学校、教学单位、班级团学工作中履行工作职责、完成工作任务情况，按如下标准加分：</w:t>
      </w:r>
    </w:p>
    <w:tbl>
      <w:tblPr>
        <w:tblStyle w:val="4"/>
        <w:tblW w:w="4963" w:type="pct"/>
        <w:jc w:val="center"/>
        <w:tblLayout w:type="autofit"/>
        <w:tblCellMar>
          <w:top w:w="0" w:type="dxa"/>
          <w:left w:w="108" w:type="dxa"/>
          <w:bottom w:w="0" w:type="dxa"/>
          <w:right w:w="108" w:type="dxa"/>
        </w:tblCellMar>
      </w:tblPr>
      <w:tblGrid>
        <w:gridCol w:w="1779"/>
        <w:gridCol w:w="5224"/>
        <w:gridCol w:w="1456"/>
      </w:tblGrid>
      <w:tr w14:paraId="4E2858F6">
        <w:tblPrEx>
          <w:tblCellMar>
            <w:top w:w="0" w:type="dxa"/>
            <w:left w:w="108" w:type="dxa"/>
            <w:bottom w:w="0" w:type="dxa"/>
            <w:right w:w="108" w:type="dxa"/>
          </w:tblCellMar>
        </w:tblPrEx>
        <w:trPr>
          <w:trHeight w:val="23" w:hRule="atLeast"/>
          <w:jc w:val="center"/>
        </w:trPr>
        <w:tc>
          <w:tcPr>
            <w:tcW w:w="1051" w:type="pct"/>
            <w:tcBorders>
              <w:top w:val="single" w:color="auto" w:sz="4" w:space="0"/>
              <w:left w:val="single" w:color="auto" w:sz="4" w:space="0"/>
              <w:bottom w:val="single" w:color="auto" w:sz="4" w:space="0"/>
              <w:right w:val="single" w:color="auto" w:sz="4" w:space="0"/>
            </w:tcBorders>
            <w:noWrap w:val="0"/>
            <w:vAlign w:val="center"/>
          </w:tcPr>
          <w:p w14:paraId="5656F7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r>
              <w:rPr>
                <w:rFonts w:hint="eastAsia" w:ascii="宋体" w:hAnsi="宋体"/>
                <w:b/>
                <w:color w:val="auto"/>
                <w:szCs w:val="21"/>
              </w:rPr>
              <w:t>级别</w:t>
            </w:r>
          </w:p>
        </w:tc>
        <w:tc>
          <w:tcPr>
            <w:tcW w:w="3087" w:type="pct"/>
            <w:tcBorders>
              <w:top w:val="single" w:color="auto" w:sz="4" w:space="0"/>
              <w:left w:val="single" w:color="auto" w:sz="4" w:space="0"/>
              <w:bottom w:val="single" w:color="auto" w:sz="4" w:space="0"/>
              <w:right w:val="single" w:color="auto" w:sz="4" w:space="0"/>
            </w:tcBorders>
            <w:noWrap w:val="0"/>
            <w:vAlign w:val="center"/>
          </w:tcPr>
          <w:p w14:paraId="67135F3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r>
              <w:rPr>
                <w:rFonts w:hint="eastAsia" w:ascii="宋体" w:hAnsi="宋体"/>
                <w:b/>
                <w:color w:val="auto"/>
                <w:szCs w:val="21"/>
              </w:rPr>
              <w:t>等级</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314F24F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r>
              <w:rPr>
                <w:rFonts w:hint="eastAsia" w:ascii="宋体" w:hAnsi="宋体"/>
                <w:b/>
                <w:color w:val="auto"/>
                <w:szCs w:val="21"/>
              </w:rPr>
              <w:t>分值</w:t>
            </w:r>
          </w:p>
        </w:tc>
      </w:tr>
      <w:tr w14:paraId="05C68D19">
        <w:tblPrEx>
          <w:tblCellMar>
            <w:top w:w="0" w:type="dxa"/>
            <w:left w:w="108" w:type="dxa"/>
            <w:bottom w:w="0" w:type="dxa"/>
            <w:right w:w="108" w:type="dxa"/>
          </w:tblCellMar>
        </w:tblPrEx>
        <w:trPr>
          <w:trHeight w:val="23" w:hRule="atLeast"/>
          <w:jc w:val="center"/>
        </w:trPr>
        <w:tc>
          <w:tcPr>
            <w:tcW w:w="1051" w:type="pct"/>
            <w:tcBorders>
              <w:top w:val="single" w:color="auto" w:sz="4" w:space="0"/>
              <w:left w:val="single" w:color="auto" w:sz="4" w:space="0"/>
              <w:bottom w:val="single" w:color="auto" w:sz="4" w:space="0"/>
              <w:right w:val="single" w:color="auto" w:sz="4" w:space="0"/>
            </w:tcBorders>
            <w:noWrap w:val="0"/>
            <w:vAlign w:val="center"/>
          </w:tcPr>
          <w:p w14:paraId="598D55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省级及以上</w:t>
            </w:r>
          </w:p>
        </w:tc>
        <w:tc>
          <w:tcPr>
            <w:tcW w:w="3087" w:type="pct"/>
            <w:tcBorders>
              <w:top w:val="single" w:color="auto" w:sz="4" w:space="0"/>
              <w:left w:val="single" w:color="auto" w:sz="4" w:space="0"/>
              <w:bottom w:val="single" w:color="auto" w:sz="4" w:space="0"/>
              <w:right w:val="single" w:color="auto" w:sz="4" w:space="0"/>
            </w:tcBorders>
            <w:noWrap w:val="0"/>
            <w:vAlign w:val="center"/>
          </w:tcPr>
          <w:p w14:paraId="0C4410E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bCs/>
                <w:color w:val="auto"/>
                <w:szCs w:val="21"/>
              </w:rPr>
            </w:pPr>
          </w:p>
        </w:tc>
        <w:tc>
          <w:tcPr>
            <w:tcW w:w="860" w:type="pct"/>
            <w:tcBorders>
              <w:top w:val="single" w:color="auto" w:sz="4" w:space="0"/>
              <w:left w:val="single" w:color="auto" w:sz="4" w:space="0"/>
              <w:bottom w:val="single" w:color="auto" w:sz="4" w:space="0"/>
              <w:right w:val="single" w:color="auto" w:sz="4" w:space="0"/>
            </w:tcBorders>
            <w:noWrap w:val="0"/>
            <w:vAlign w:val="center"/>
          </w:tcPr>
          <w:p w14:paraId="45BF16C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15</w:t>
            </w:r>
          </w:p>
        </w:tc>
      </w:tr>
      <w:tr w14:paraId="08E5D947">
        <w:tblPrEx>
          <w:tblCellMar>
            <w:top w:w="0" w:type="dxa"/>
            <w:left w:w="108" w:type="dxa"/>
            <w:bottom w:w="0" w:type="dxa"/>
            <w:right w:w="108" w:type="dxa"/>
          </w:tblCellMar>
        </w:tblPrEx>
        <w:trPr>
          <w:trHeight w:val="23" w:hRule="atLeast"/>
          <w:jc w:val="center"/>
        </w:trPr>
        <w:tc>
          <w:tcPr>
            <w:tcW w:w="1051" w:type="pct"/>
            <w:vMerge w:val="restart"/>
            <w:tcBorders>
              <w:top w:val="single" w:color="auto" w:sz="4" w:space="0"/>
              <w:left w:val="single" w:color="auto" w:sz="4" w:space="0"/>
              <w:right w:val="single" w:color="auto" w:sz="4" w:space="0"/>
            </w:tcBorders>
            <w:noWrap w:val="0"/>
            <w:vAlign w:val="center"/>
          </w:tcPr>
          <w:p w14:paraId="0ED6DA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校级</w:t>
            </w:r>
          </w:p>
        </w:tc>
        <w:tc>
          <w:tcPr>
            <w:tcW w:w="3087" w:type="pct"/>
            <w:tcBorders>
              <w:top w:val="single" w:color="auto" w:sz="4" w:space="0"/>
              <w:left w:val="single" w:color="auto" w:sz="4" w:space="0"/>
              <w:bottom w:val="single" w:color="auto" w:sz="4" w:space="0"/>
              <w:right w:val="single" w:color="auto" w:sz="4" w:space="0"/>
            </w:tcBorders>
            <w:noWrap w:val="0"/>
            <w:vAlign w:val="center"/>
          </w:tcPr>
          <w:p w14:paraId="208822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主席/副主席</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615F33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8</w:t>
            </w:r>
          </w:p>
        </w:tc>
      </w:tr>
      <w:tr w14:paraId="6CCF1D9E">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right w:val="single" w:color="auto" w:sz="4" w:space="0"/>
            </w:tcBorders>
            <w:noWrap w:val="0"/>
            <w:vAlign w:val="center"/>
          </w:tcPr>
          <w:p w14:paraId="555D61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1D39A1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部长（含学生工作助理中心负责人）</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2A30786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5</w:t>
            </w:r>
          </w:p>
        </w:tc>
      </w:tr>
      <w:tr w14:paraId="4292BC66">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bottom w:val="single" w:color="auto" w:sz="4" w:space="0"/>
              <w:right w:val="single" w:color="auto" w:sz="4" w:space="0"/>
            </w:tcBorders>
            <w:noWrap w:val="0"/>
            <w:vAlign w:val="center"/>
          </w:tcPr>
          <w:p w14:paraId="3CAF5D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76D75EC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干事（含学生助理中心干事）</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21D06B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3</w:t>
            </w:r>
          </w:p>
        </w:tc>
      </w:tr>
      <w:tr w14:paraId="3DC13204">
        <w:tblPrEx>
          <w:tblCellMar>
            <w:top w:w="0" w:type="dxa"/>
            <w:left w:w="108" w:type="dxa"/>
            <w:bottom w:w="0" w:type="dxa"/>
            <w:right w:w="108" w:type="dxa"/>
          </w:tblCellMar>
        </w:tblPrEx>
        <w:trPr>
          <w:trHeight w:val="23" w:hRule="atLeast"/>
          <w:jc w:val="center"/>
        </w:trPr>
        <w:tc>
          <w:tcPr>
            <w:tcW w:w="1051" w:type="pct"/>
            <w:vMerge w:val="restart"/>
            <w:tcBorders>
              <w:top w:val="single" w:color="auto" w:sz="4" w:space="0"/>
              <w:left w:val="single" w:color="auto" w:sz="4" w:space="0"/>
              <w:right w:val="single" w:color="auto" w:sz="4" w:space="0"/>
            </w:tcBorders>
            <w:noWrap w:val="0"/>
            <w:vAlign w:val="center"/>
          </w:tcPr>
          <w:p w14:paraId="1E61CC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教学单位级</w:t>
            </w:r>
          </w:p>
        </w:tc>
        <w:tc>
          <w:tcPr>
            <w:tcW w:w="3087" w:type="pct"/>
            <w:tcBorders>
              <w:top w:val="single" w:color="auto" w:sz="4" w:space="0"/>
              <w:left w:val="single" w:color="auto" w:sz="4" w:space="0"/>
              <w:bottom w:val="single" w:color="auto" w:sz="4" w:space="0"/>
              <w:right w:val="single" w:color="auto" w:sz="4" w:space="0"/>
            </w:tcBorders>
            <w:noWrap w:val="0"/>
            <w:vAlign w:val="center"/>
          </w:tcPr>
          <w:p w14:paraId="35F96CF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主席/副主席</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75D31F6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5</w:t>
            </w:r>
          </w:p>
        </w:tc>
      </w:tr>
      <w:tr w14:paraId="30819100">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right w:val="single" w:color="auto" w:sz="4" w:space="0"/>
            </w:tcBorders>
            <w:noWrap w:val="0"/>
            <w:vAlign w:val="center"/>
          </w:tcPr>
          <w:p w14:paraId="4D6654A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3E8C282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部长</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10CB46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4</w:t>
            </w:r>
          </w:p>
        </w:tc>
      </w:tr>
      <w:tr w14:paraId="60A24458">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right w:val="single" w:color="auto" w:sz="4" w:space="0"/>
            </w:tcBorders>
            <w:noWrap w:val="0"/>
            <w:vAlign w:val="center"/>
          </w:tcPr>
          <w:p w14:paraId="7657C45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54DE9F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干事</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55FA94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3</w:t>
            </w:r>
          </w:p>
        </w:tc>
      </w:tr>
      <w:tr w14:paraId="3C00B0EB">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bottom w:val="single" w:color="auto" w:sz="4" w:space="0"/>
              <w:right w:val="single" w:color="auto" w:sz="4" w:space="0"/>
            </w:tcBorders>
            <w:noWrap w:val="0"/>
            <w:vAlign w:val="center"/>
          </w:tcPr>
          <w:p w14:paraId="464E681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1BD7D8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宿舍楼层长</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40B7E8C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2</w:t>
            </w:r>
          </w:p>
        </w:tc>
      </w:tr>
      <w:tr w14:paraId="239A9FFD">
        <w:tblPrEx>
          <w:tblCellMar>
            <w:top w:w="0" w:type="dxa"/>
            <w:left w:w="108" w:type="dxa"/>
            <w:bottom w:w="0" w:type="dxa"/>
            <w:right w:w="108" w:type="dxa"/>
          </w:tblCellMar>
        </w:tblPrEx>
        <w:trPr>
          <w:trHeight w:val="23" w:hRule="atLeast"/>
          <w:jc w:val="center"/>
        </w:trPr>
        <w:tc>
          <w:tcPr>
            <w:tcW w:w="1051" w:type="pct"/>
            <w:vMerge w:val="restart"/>
            <w:tcBorders>
              <w:top w:val="single" w:color="auto" w:sz="4" w:space="0"/>
              <w:left w:val="single" w:color="auto" w:sz="4" w:space="0"/>
              <w:right w:val="single" w:color="auto" w:sz="4" w:space="0"/>
            </w:tcBorders>
            <w:noWrap w:val="0"/>
            <w:vAlign w:val="center"/>
          </w:tcPr>
          <w:p w14:paraId="4D3680C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班级</w:t>
            </w:r>
          </w:p>
        </w:tc>
        <w:tc>
          <w:tcPr>
            <w:tcW w:w="3087" w:type="pct"/>
            <w:tcBorders>
              <w:top w:val="single" w:color="auto" w:sz="4" w:space="0"/>
              <w:left w:val="single" w:color="auto" w:sz="4" w:space="0"/>
              <w:bottom w:val="single" w:color="auto" w:sz="4" w:space="0"/>
              <w:right w:val="single" w:color="auto" w:sz="4" w:space="0"/>
            </w:tcBorders>
            <w:noWrap w:val="0"/>
            <w:vAlign w:val="center"/>
          </w:tcPr>
          <w:p w14:paraId="0B833D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班长、团支书</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23C998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5</w:t>
            </w:r>
          </w:p>
        </w:tc>
      </w:tr>
      <w:tr w14:paraId="1BCBD3A3">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right w:val="single" w:color="auto" w:sz="4" w:space="0"/>
            </w:tcBorders>
            <w:noWrap w:val="0"/>
            <w:vAlign w:val="center"/>
          </w:tcPr>
          <w:p w14:paraId="0EAD901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41112A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班委成员</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4A23E96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4</w:t>
            </w:r>
          </w:p>
        </w:tc>
      </w:tr>
      <w:tr w14:paraId="24393022">
        <w:tblPrEx>
          <w:tblCellMar>
            <w:top w:w="0" w:type="dxa"/>
            <w:left w:w="108" w:type="dxa"/>
            <w:bottom w:w="0" w:type="dxa"/>
            <w:right w:w="108" w:type="dxa"/>
          </w:tblCellMar>
        </w:tblPrEx>
        <w:trPr>
          <w:trHeight w:val="23" w:hRule="atLeast"/>
          <w:jc w:val="center"/>
        </w:trPr>
        <w:tc>
          <w:tcPr>
            <w:tcW w:w="1051" w:type="pct"/>
            <w:vMerge w:val="continue"/>
            <w:tcBorders>
              <w:left w:val="single" w:color="auto" w:sz="4" w:space="0"/>
              <w:bottom w:val="single" w:color="auto" w:sz="4" w:space="0"/>
              <w:right w:val="single" w:color="auto" w:sz="4" w:space="0"/>
            </w:tcBorders>
            <w:noWrap w:val="0"/>
            <w:vAlign w:val="center"/>
          </w:tcPr>
          <w:p w14:paraId="0867CFD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bCs/>
                <w:color w:val="auto"/>
                <w:szCs w:val="21"/>
              </w:rPr>
            </w:pPr>
          </w:p>
        </w:tc>
        <w:tc>
          <w:tcPr>
            <w:tcW w:w="3087" w:type="pct"/>
            <w:tcBorders>
              <w:top w:val="single" w:color="auto" w:sz="4" w:space="0"/>
              <w:left w:val="single" w:color="auto" w:sz="4" w:space="0"/>
              <w:bottom w:val="single" w:color="auto" w:sz="4" w:space="0"/>
              <w:right w:val="single" w:color="auto" w:sz="4" w:space="0"/>
            </w:tcBorders>
            <w:noWrap w:val="0"/>
            <w:vAlign w:val="center"/>
          </w:tcPr>
          <w:p w14:paraId="776EC6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宿舍舍长</w:t>
            </w:r>
          </w:p>
        </w:tc>
        <w:tc>
          <w:tcPr>
            <w:tcW w:w="860" w:type="pct"/>
            <w:tcBorders>
              <w:top w:val="single" w:color="auto" w:sz="4" w:space="0"/>
              <w:left w:val="single" w:color="auto" w:sz="4" w:space="0"/>
              <w:bottom w:val="single" w:color="auto" w:sz="4" w:space="0"/>
              <w:right w:val="single" w:color="auto" w:sz="4" w:space="0"/>
            </w:tcBorders>
            <w:noWrap w:val="0"/>
            <w:vAlign w:val="center"/>
          </w:tcPr>
          <w:p w14:paraId="6B42384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Cs/>
                <w:color w:val="auto"/>
                <w:szCs w:val="21"/>
              </w:rPr>
            </w:pPr>
            <w:r>
              <w:rPr>
                <w:rFonts w:hint="eastAsia" w:ascii="宋体" w:hAnsi="宋体"/>
                <w:bCs/>
                <w:color w:val="auto"/>
                <w:szCs w:val="21"/>
              </w:rPr>
              <w:t>1</w:t>
            </w:r>
          </w:p>
        </w:tc>
      </w:tr>
    </w:tbl>
    <w:p w14:paraId="1E93055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说明：</w:t>
      </w:r>
    </w:p>
    <w:p w14:paraId="15C6457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加分的学生干部原则上应任职满一学年，加分值根据学生干部的工作情况，在最高加分值范围内适当调整。对任职满一学期但未满一学年的学生干部减半加分。考核结果为良好及以上的，可得满分；考核结果为合格的，得对应分值的70%。</w:t>
      </w:r>
    </w:p>
    <w:p w14:paraId="0F48C75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（2）对工作考核不合格、或有违纪受处分现象，或有重修两门课程以上，或所在宿舍为不合格宿舍（含宿舍卫生学年平均成绩低于60分）的学生干部，不加分。</w:t>
      </w:r>
    </w:p>
    <w:p w14:paraId="6BC608C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3.科技和技能竞赛</w:t>
      </w:r>
    </w:p>
    <w:tbl>
      <w:tblPr>
        <w:tblStyle w:val="4"/>
        <w:tblW w:w="49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4"/>
        <w:gridCol w:w="1216"/>
        <w:gridCol w:w="1216"/>
        <w:gridCol w:w="1216"/>
        <w:gridCol w:w="1216"/>
        <w:gridCol w:w="1217"/>
      </w:tblGrid>
      <w:tr w14:paraId="0309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pct"/>
            <w:tcBorders>
              <w:tl2br w:val="single" w:color="auto" w:sz="4" w:space="0"/>
            </w:tcBorders>
            <w:noWrap w:val="0"/>
            <w:vAlign w:val="top"/>
          </w:tcPr>
          <w:p w14:paraId="33592A46">
            <w:pPr>
              <w:rPr>
                <w:rFonts w:hint="eastAsia" w:ascii="宋体" w:hAnsi="宋体"/>
                <w:b/>
                <w:bCs/>
                <w:color w:val="auto"/>
                <w:szCs w:val="21"/>
              </w:rPr>
            </w:pPr>
            <w:r>
              <w:rPr>
                <w:rFonts w:hint="eastAsia" w:ascii="宋体" w:hAnsi="宋体"/>
                <w:b/>
                <w:bCs/>
                <w:color w:val="auto"/>
                <w:szCs w:val="21"/>
              </w:rPr>
              <w:t xml:space="preserve">   </w:t>
            </w:r>
            <w:r>
              <w:rPr>
                <w:rFonts w:ascii="宋体" w:hAnsi="宋体"/>
                <w:b/>
                <w:bCs/>
                <w:color w:val="auto"/>
                <w:szCs w:val="21"/>
              </w:rPr>
              <w:t xml:space="preserve">        </w:t>
            </w:r>
            <w:r>
              <w:rPr>
                <w:rFonts w:hint="eastAsia" w:ascii="宋体" w:hAnsi="宋体"/>
                <w:b/>
                <w:bCs/>
                <w:color w:val="auto"/>
                <w:szCs w:val="21"/>
              </w:rPr>
              <w:t>等次</w:t>
            </w:r>
          </w:p>
          <w:p w14:paraId="3F812248">
            <w:pPr>
              <w:rPr>
                <w:rFonts w:hint="eastAsia" w:ascii="宋体" w:hAnsi="宋体"/>
                <w:b/>
                <w:bCs/>
                <w:color w:val="auto"/>
                <w:szCs w:val="21"/>
              </w:rPr>
            </w:pPr>
            <w:r>
              <w:rPr>
                <w:rFonts w:hint="eastAsia" w:ascii="宋体" w:hAnsi="宋体"/>
                <w:b/>
                <w:bCs/>
                <w:color w:val="auto"/>
                <w:szCs w:val="21"/>
              </w:rPr>
              <w:t>级别</w:t>
            </w:r>
          </w:p>
        </w:tc>
        <w:tc>
          <w:tcPr>
            <w:tcW w:w="715" w:type="pct"/>
            <w:noWrap w:val="0"/>
            <w:vAlign w:val="center"/>
          </w:tcPr>
          <w:p w14:paraId="3D7CEF50">
            <w:pPr>
              <w:jc w:val="center"/>
              <w:rPr>
                <w:rFonts w:hint="eastAsia" w:ascii="宋体" w:hAnsi="宋体"/>
                <w:b/>
                <w:bCs/>
                <w:color w:val="auto"/>
                <w:szCs w:val="21"/>
              </w:rPr>
            </w:pPr>
            <w:r>
              <w:rPr>
                <w:rFonts w:hint="eastAsia" w:ascii="宋体" w:hAnsi="宋体"/>
                <w:b/>
                <w:bCs/>
                <w:color w:val="auto"/>
                <w:szCs w:val="21"/>
              </w:rPr>
              <w:t>特等</w:t>
            </w:r>
          </w:p>
        </w:tc>
        <w:tc>
          <w:tcPr>
            <w:tcW w:w="715" w:type="pct"/>
            <w:noWrap w:val="0"/>
            <w:vAlign w:val="center"/>
          </w:tcPr>
          <w:p w14:paraId="28875162">
            <w:pPr>
              <w:jc w:val="center"/>
              <w:rPr>
                <w:rFonts w:hint="eastAsia" w:ascii="宋体" w:hAnsi="宋体"/>
                <w:b/>
                <w:bCs/>
                <w:color w:val="auto"/>
                <w:szCs w:val="21"/>
              </w:rPr>
            </w:pPr>
            <w:r>
              <w:rPr>
                <w:rFonts w:hint="eastAsia" w:ascii="宋体" w:hAnsi="宋体"/>
                <w:b/>
                <w:bCs/>
                <w:color w:val="auto"/>
                <w:szCs w:val="21"/>
              </w:rPr>
              <w:t>一等</w:t>
            </w:r>
          </w:p>
        </w:tc>
        <w:tc>
          <w:tcPr>
            <w:tcW w:w="715" w:type="pct"/>
            <w:noWrap w:val="0"/>
            <w:vAlign w:val="center"/>
          </w:tcPr>
          <w:p w14:paraId="3C7A4363">
            <w:pPr>
              <w:jc w:val="center"/>
              <w:rPr>
                <w:rFonts w:hint="eastAsia" w:ascii="宋体" w:hAnsi="宋体"/>
                <w:b/>
                <w:bCs/>
                <w:color w:val="auto"/>
                <w:szCs w:val="21"/>
              </w:rPr>
            </w:pPr>
            <w:r>
              <w:rPr>
                <w:rFonts w:hint="eastAsia" w:ascii="宋体" w:hAnsi="宋体"/>
                <w:b/>
                <w:bCs/>
                <w:color w:val="auto"/>
                <w:szCs w:val="21"/>
              </w:rPr>
              <w:t>二等</w:t>
            </w:r>
          </w:p>
        </w:tc>
        <w:tc>
          <w:tcPr>
            <w:tcW w:w="715" w:type="pct"/>
            <w:noWrap w:val="0"/>
            <w:vAlign w:val="center"/>
          </w:tcPr>
          <w:p w14:paraId="46733455">
            <w:pPr>
              <w:jc w:val="center"/>
              <w:rPr>
                <w:rFonts w:hint="eastAsia" w:ascii="宋体" w:hAnsi="宋体"/>
                <w:b/>
                <w:bCs/>
                <w:color w:val="auto"/>
                <w:szCs w:val="21"/>
              </w:rPr>
            </w:pPr>
            <w:r>
              <w:rPr>
                <w:rFonts w:hint="eastAsia" w:ascii="宋体" w:hAnsi="宋体"/>
                <w:b/>
                <w:bCs/>
                <w:color w:val="auto"/>
                <w:szCs w:val="21"/>
              </w:rPr>
              <w:t>三等</w:t>
            </w:r>
          </w:p>
        </w:tc>
        <w:tc>
          <w:tcPr>
            <w:tcW w:w="716" w:type="pct"/>
            <w:noWrap w:val="0"/>
            <w:vAlign w:val="center"/>
          </w:tcPr>
          <w:p w14:paraId="20B8B2EF">
            <w:pPr>
              <w:jc w:val="center"/>
              <w:rPr>
                <w:rFonts w:hint="eastAsia" w:ascii="宋体" w:hAnsi="宋体"/>
                <w:b/>
                <w:bCs/>
                <w:color w:val="auto"/>
                <w:szCs w:val="21"/>
              </w:rPr>
            </w:pPr>
            <w:r>
              <w:rPr>
                <w:rFonts w:hint="eastAsia" w:ascii="宋体" w:hAnsi="宋体"/>
                <w:b/>
                <w:bCs/>
                <w:color w:val="auto"/>
                <w:szCs w:val="21"/>
              </w:rPr>
              <w:t>优秀</w:t>
            </w:r>
          </w:p>
        </w:tc>
      </w:tr>
      <w:tr w14:paraId="4A56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pct"/>
            <w:noWrap w:val="0"/>
            <w:vAlign w:val="top"/>
          </w:tcPr>
          <w:p w14:paraId="3C77AEA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国家级</w:t>
            </w:r>
          </w:p>
        </w:tc>
        <w:tc>
          <w:tcPr>
            <w:tcW w:w="715" w:type="pct"/>
            <w:noWrap w:val="0"/>
            <w:vAlign w:val="top"/>
          </w:tcPr>
          <w:p w14:paraId="43F122C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30</w:t>
            </w:r>
          </w:p>
        </w:tc>
        <w:tc>
          <w:tcPr>
            <w:tcW w:w="715" w:type="pct"/>
            <w:noWrap w:val="0"/>
            <w:vAlign w:val="top"/>
          </w:tcPr>
          <w:p w14:paraId="1171AD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20</w:t>
            </w:r>
          </w:p>
        </w:tc>
        <w:tc>
          <w:tcPr>
            <w:tcW w:w="715" w:type="pct"/>
            <w:noWrap w:val="0"/>
            <w:vAlign w:val="top"/>
          </w:tcPr>
          <w:p w14:paraId="3F621BB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16</w:t>
            </w:r>
          </w:p>
        </w:tc>
        <w:tc>
          <w:tcPr>
            <w:tcW w:w="715" w:type="pct"/>
            <w:noWrap w:val="0"/>
            <w:vAlign w:val="top"/>
          </w:tcPr>
          <w:p w14:paraId="4515AE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12</w:t>
            </w:r>
          </w:p>
        </w:tc>
        <w:tc>
          <w:tcPr>
            <w:tcW w:w="716" w:type="pct"/>
            <w:noWrap w:val="0"/>
            <w:vAlign w:val="top"/>
          </w:tcPr>
          <w:p w14:paraId="0148BD2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r>
      <w:tr w14:paraId="2F5E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pct"/>
            <w:noWrap w:val="0"/>
            <w:vAlign w:val="top"/>
          </w:tcPr>
          <w:p w14:paraId="4482B51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省部级</w:t>
            </w:r>
          </w:p>
        </w:tc>
        <w:tc>
          <w:tcPr>
            <w:tcW w:w="715" w:type="pct"/>
            <w:noWrap w:val="0"/>
            <w:vAlign w:val="top"/>
          </w:tcPr>
          <w:p w14:paraId="69821DD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20</w:t>
            </w:r>
          </w:p>
        </w:tc>
        <w:tc>
          <w:tcPr>
            <w:tcW w:w="715" w:type="pct"/>
            <w:noWrap w:val="0"/>
            <w:vAlign w:val="top"/>
          </w:tcPr>
          <w:p w14:paraId="666AC1B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16</w:t>
            </w:r>
          </w:p>
        </w:tc>
        <w:tc>
          <w:tcPr>
            <w:tcW w:w="715" w:type="pct"/>
            <w:noWrap w:val="0"/>
            <w:vAlign w:val="top"/>
          </w:tcPr>
          <w:p w14:paraId="479AD7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12</w:t>
            </w:r>
          </w:p>
        </w:tc>
        <w:tc>
          <w:tcPr>
            <w:tcW w:w="715" w:type="pct"/>
            <w:noWrap w:val="0"/>
            <w:vAlign w:val="top"/>
          </w:tcPr>
          <w:p w14:paraId="3A4180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c>
          <w:tcPr>
            <w:tcW w:w="716" w:type="pct"/>
            <w:noWrap w:val="0"/>
            <w:vAlign w:val="top"/>
          </w:tcPr>
          <w:p w14:paraId="190FBB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5</w:t>
            </w:r>
          </w:p>
        </w:tc>
      </w:tr>
      <w:tr w14:paraId="40D8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pct"/>
            <w:noWrap w:val="0"/>
            <w:vAlign w:val="top"/>
          </w:tcPr>
          <w:p w14:paraId="7A841B8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市、校级</w:t>
            </w:r>
          </w:p>
        </w:tc>
        <w:tc>
          <w:tcPr>
            <w:tcW w:w="715" w:type="pct"/>
            <w:noWrap w:val="0"/>
            <w:vAlign w:val="top"/>
          </w:tcPr>
          <w:p w14:paraId="3DCB9A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9</w:t>
            </w:r>
          </w:p>
        </w:tc>
        <w:tc>
          <w:tcPr>
            <w:tcW w:w="715" w:type="pct"/>
            <w:noWrap w:val="0"/>
            <w:vAlign w:val="top"/>
          </w:tcPr>
          <w:p w14:paraId="1FB0BE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6</w:t>
            </w:r>
          </w:p>
        </w:tc>
        <w:tc>
          <w:tcPr>
            <w:tcW w:w="715" w:type="pct"/>
            <w:noWrap w:val="0"/>
            <w:vAlign w:val="top"/>
          </w:tcPr>
          <w:p w14:paraId="41EF5C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4</w:t>
            </w:r>
          </w:p>
        </w:tc>
        <w:tc>
          <w:tcPr>
            <w:tcW w:w="715" w:type="pct"/>
            <w:noWrap w:val="0"/>
            <w:vAlign w:val="top"/>
          </w:tcPr>
          <w:p w14:paraId="14AE59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w:t>
            </w:r>
          </w:p>
        </w:tc>
        <w:tc>
          <w:tcPr>
            <w:tcW w:w="716" w:type="pct"/>
            <w:noWrap w:val="0"/>
            <w:vAlign w:val="top"/>
          </w:tcPr>
          <w:p w14:paraId="0EC04E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w:t>
            </w:r>
          </w:p>
        </w:tc>
      </w:tr>
      <w:tr w14:paraId="7AB1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20" w:type="pct"/>
            <w:noWrap w:val="0"/>
            <w:vAlign w:val="top"/>
          </w:tcPr>
          <w:p w14:paraId="501499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教学单位级</w:t>
            </w:r>
          </w:p>
        </w:tc>
        <w:tc>
          <w:tcPr>
            <w:tcW w:w="715" w:type="pct"/>
            <w:noWrap w:val="0"/>
            <w:vAlign w:val="top"/>
          </w:tcPr>
          <w:p w14:paraId="5C1370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5</w:t>
            </w:r>
          </w:p>
        </w:tc>
        <w:tc>
          <w:tcPr>
            <w:tcW w:w="715" w:type="pct"/>
            <w:noWrap w:val="0"/>
            <w:vAlign w:val="top"/>
          </w:tcPr>
          <w:p w14:paraId="3001692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4</w:t>
            </w:r>
          </w:p>
        </w:tc>
        <w:tc>
          <w:tcPr>
            <w:tcW w:w="715" w:type="pct"/>
            <w:noWrap w:val="0"/>
            <w:vAlign w:val="top"/>
          </w:tcPr>
          <w:p w14:paraId="062EF6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w:t>
            </w:r>
          </w:p>
        </w:tc>
        <w:tc>
          <w:tcPr>
            <w:tcW w:w="715" w:type="pct"/>
            <w:noWrap w:val="0"/>
            <w:vAlign w:val="top"/>
          </w:tcPr>
          <w:p w14:paraId="7CC399C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w:t>
            </w:r>
          </w:p>
        </w:tc>
        <w:tc>
          <w:tcPr>
            <w:tcW w:w="716" w:type="pct"/>
            <w:noWrap w:val="0"/>
            <w:vAlign w:val="top"/>
          </w:tcPr>
          <w:p w14:paraId="5C3799B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w:t>
            </w:r>
          </w:p>
        </w:tc>
      </w:tr>
    </w:tbl>
    <w:p w14:paraId="44A6605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说明：学生参加各类科技和技能竞赛获奖，如属合作项目，按作者排序加分，奖励分值分别为等级加分分值乘以系数80%、60%、40%、20%，结果取整数记分。其他未在上述言明情况以外的获奖加分，由教学单位根据实际情况核定，但不能超过以上标准。</w:t>
      </w:r>
    </w:p>
    <w:p w14:paraId="4AAB51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4.校园文化活动</w:t>
      </w:r>
    </w:p>
    <w:p w14:paraId="630127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color w:val="auto"/>
        </w:rPr>
      </w:pPr>
      <w:r>
        <w:rPr>
          <w:rFonts w:hint="eastAsia" w:ascii="宋体" w:hAnsi="宋体"/>
          <w:color w:val="auto"/>
          <w:sz w:val="24"/>
          <w:szCs w:val="24"/>
        </w:rPr>
        <w:t>学生参加各类文艺竞赛或演出活动，按如下标准加分（最高累计不超过30分）：</w:t>
      </w:r>
    </w:p>
    <w:tbl>
      <w:tblPr>
        <w:tblStyle w:val="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995"/>
        <w:gridCol w:w="1007"/>
        <w:gridCol w:w="949"/>
        <w:gridCol w:w="1312"/>
        <w:gridCol w:w="1215"/>
        <w:gridCol w:w="963"/>
      </w:tblGrid>
      <w:tr w14:paraId="2F6B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pct"/>
            <w:tcBorders>
              <w:tl2br w:val="single" w:color="auto" w:sz="4" w:space="0"/>
            </w:tcBorders>
            <w:noWrap w:val="0"/>
            <w:vAlign w:val="top"/>
          </w:tcPr>
          <w:p w14:paraId="66931708">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b/>
                <w:bCs/>
                <w:color w:val="auto"/>
                <w:szCs w:val="21"/>
              </w:rPr>
            </w:pPr>
            <w:r>
              <w:rPr>
                <w:rFonts w:hint="eastAsia" w:ascii="宋体" w:hAnsi="宋体"/>
                <w:b/>
                <w:bCs/>
                <w:color w:val="auto"/>
                <w:szCs w:val="21"/>
              </w:rPr>
              <w:t xml:space="preserve">   </w:t>
            </w:r>
            <w:r>
              <w:rPr>
                <w:rFonts w:ascii="宋体" w:hAnsi="宋体"/>
                <w:b/>
                <w:bCs/>
                <w:color w:val="auto"/>
                <w:szCs w:val="21"/>
              </w:rPr>
              <w:t xml:space="preserve">      </w:t>
            </w:r>
            <w:r>
              <w:rPr>
                <w:rFonts w:hint="eastAsia" w:ascii="宋体" w:hAnsi="宋体"/>
                <w:b/>
                <w:bCs/>
                <w:color w:val="auto"/>
                <w:szCs w:val="21"/>
              </w:rPr>
              <w:t>等次</w:t>
            </w:r>
          </w:p>
          <w:p w14:paraId="7CBAA111">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b/>
                <w:bCs/>
                <w:color w:val="auto"/>
                <w:szCs w:val="21"/>
              </w:rPr>
            </w:pPr>
            <w:r>
              <w:rPr>
                <w:rFonts w:hint="eastAsia" w:ascii="宋体" w:hAnsi="宋体"/>
                <w:b/>
                <w:bCs/>
                <w:color w:val="auto"/>
                <w:szCs w:val="21"/>
              </w:rPr>
              <w:t>级别</w:t>
            </w:r>
          </w:p>
        </w:tc>
        <w:tc>
          <w:tcPr>
            <w:tcW w:w="584" w:type="pct"/>
            <w:noWrap w:val="0"/>
            <w:vAlign w:val="center"/>
          </w:tcPr>
          <w:p w14:paraId="161D65F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特等</w:t>
            </w:r>
          </w:p>
        </w:tc>
        <w:tc>
          <w:tcPr>
            <w:tcW w:w="591" w:type="pct"/>
            <w:noWrap w:val="0"/>
            <w:vAlign w:val="center"/>
          </w:tcPr>
          <w:p w14:paraId="77BF642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一等</w:t>
            </w:r>
          </w:p>
        </w:tc>
        <w:tc>
          <w:tcPr>
            <w:tcW w:w="557" w:type="pct"/>
            <w:noWrap w:val="0"/>
            <w:vAlign w:val="center"/>
          </w:tcPr>
          <w:p w14:paraId="01F136D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二等</w:t>
            </w:r>
          </w:p>
        </w:tc>
        <w:tc>
          <w:tcPr>
            <w:tcW w:w="770" w:type="pct"/>
            <w:noWrap w:val="0"/>
            <w:vAlign w:val="center"/>
          </w:tcPr>
          <w:p w14:paraId="6BCD56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三等</w:t>
            </w:r>
          </w:p>
        </w:tc>
        <w:tc>
          <w:tcPr>
            <w:tcW w:w="713" w:type="pct"/>
            <w:noWrap w:val="0"/>
            <w:vAlign w:val="center"/>
          </w:tcPr>
          <w:p w14:paraId="0FB54EB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优秀</w:t>
            </w:r>
          </w:p>
        </w:tc>
        <w:tc>
          <w:tcPr>
            <w:tcW w:w="565" w:type="pct"/>
            <w:noWrap w:val="0"/>
            <w:vAlign w:val="center"/>
          </w:tcPr>
          <w:p w14:paraId="4E470D3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参加</w:t>
            </w:r>
          </w:p>
        </w:tc>
      </w:tr>
      <w:tr w14:paraId="483C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pct"/>
            <w:noWrap w:val="0"/>
            <w:vAlign w:val="top"/>
          </w:tcPr>
          <w:p w14:paraId="1000D3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国家级</w:t>
            </w:r>
          </w:p>
        </w:tc>
        <w:tc>
          <w:tcPr>
            <w:tcW w:w="584" w:type="pct"/>
            <w:noWrap w:val="0"/>
            <w:vAlign w:val="center"/>
          </w:tcPr>
          <w:p w14:paraId="2E7A2C0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30</w:t>
            </w:r>
          </w:p>
        </w:tc>
        <w:tc>
          <w:tcPr>
            <w:tcW w:w="591" w:type="pct"/>
            <w:noWrap w:val="0"/>
            <w:vAlign w:val="center"/>
          </w:tcPr>
          <w:p w14:paraId="5DA532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20</w:t>
            </w:r>
          </w:p>
        </w:tc>
        <w:tc>
          <w:tcPr>
            <w:tcW w:w="557" w:type="pct"/>
            <w:noWrap w:val="0"/>
            <w:vAlign w:val="center"/>
          </w:tcPr>
          <w:p w14:paraId="45179E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16</w:t>
            </w:r>
          </w:p>
        </w:tc>
        <w:tc>
          <w:tcPr>
            <w:tcW w:w="770" w:type="pct"/>
            <w:noWrap w:val="0"/>
            <w:vAlign w:val="center"/>
          </w:tcPr>
          <w:p w14:paraId="631226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12</w:t>
            </w:r>
          </w:p>
        </w:tc>
        <w:tc>
          <w:tcPr>
            <w:tcW w:w="713" w:type="pct"/>
            <w:noWrap w:val="0"/>
            <w:vAlign w:val="center"/>
          </w:tcPr>
          <w:p w14:paraId="663433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c>
          <w:tcPr>
            <w:tcW w:w="565" w:type="pct"/>
            <w:noWrap w:val="0"/>
            <w:vAlign w:val="center"/>
          </w:tcPr>
          <w:p w14:paraId="35C4694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4/次</w:t>
            </w:r>
          </w:p>
        </w:tc>
      </w:tr>
      <w:tr w14:paraId="01A47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pct"/>
            <w:noWrap w:val="0"/>
            <w:vAlign w:val="top"/>
          </w:tcPr>
          <w:p w14:paraId="3D6ED7D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省部级</w:t>
            </w:r>
          </w:p>
        </w:tc>
        <w:tc>
          <w:tcPr>
            <w:tcW w:w="584" w:type="pct"/>
            <w:noWrap w:val="0"/>
            <w:vAlign w:val="center"/>
          </w:tcPr>
          <w:p w14:paraId="2609CD7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20</w:t>
            </w:r>
          </w:p>
        </w:tc>
        <w:tc>
          <w:tcPr>
            <w:tcW w:w="591" w:type="pct"/>
            <w:noWrap w:val="0"/>
            <w:vAlign w:val="center"/>
          </w:tcPr>
          <w:p w14:paraId="35E7DB1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15</w:t>
            </w:r>
          </w:p>
        </w:tc>
        <w:tc>
          <w:tcPr>
            <w:tcW w:w="557" w:type="pct"/>
            <w:noWrap w:val="0"/>
            <w:vAlign w:val="center"/>
          </w:tcPr>
          <w:p w14:paraId="1BFC3FE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10</w:t>
            </w:r>
          </w:p>
        </w:tc>
        <w:tc>
          <w:tcPr>
            <w:tcW w:w="770" w:type="pct"/>
            <w:noWrap w:val="0"/>
            <w:vAlign w:val="center"/>
          </w:tcPr>
          <w:p w14:paraId="16B0C27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c>
          <w:tcPr>
            <w:tcW w:w="713" w:type="pct"/>
            <w:noWrap w:val="0"/>
            <w:vAlign w:val="center"/>
          </w:tcPr>
          <w:p w14:paraId="665845D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5</w:t>
            </w:r>
          </w:p>
        </w:tc>
        <w:tc>
          <w:tcPr>
            <w:tcW w:w="565" w:type="pct"/>
            <w:noWrap w:val="0"/>
            <w:vAlign w:val="center"/>
          </w:tcPr>
          <w:p w14:paraId="47DC2E0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3/次</w:t>
            </w:r>
          </w:p>
        </w:tc>
      </w:tr>
      <w:tr w14:paraId="1D9B7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pct"/>
            <w:noWrap w:val="0"/>
            <w:vAlign w:val="top"/>
          </w:tcPr>
          <w:p w14:paraId="74E0F6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市、校级</w:t>
            </w:r>
          </w:p>
        </w:tc>
        <w:tc>
          <w:tcPr>
            <w:tcW w:w="584" w:type="pct"/>
            <w:noWrap w:val="0"/>
            <w:vAlign w:val="center"/>
          </w:tcPr>
          <w:p w14:paraId="0D85DF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14</w:t>
            </w:r>
          </w:p>
        </w:tc>
        <w:tc>
          <w:tcPr>
            <w:tcW w:w="591" w:type="pct"/>
            <w:noWrap w:val="0"/>
            <w:vAlign w:val="center"/>
          </w:tcPr>
          <w:p w14:paraId="2193BCF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c>
          <w:tcPr>
            <w:tcW w:w="557" w:type="pct"/>
            <w:noWrap w:val="0"/>
            <w:vAlign w:val="center"/>
          </w:tcPr>
          <w:p w14:paraId="470933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6</w:t>
            </w:r>
          </w:p>
        </w:tc>
        <w:tc>
          <w:tcPr>
            <w:tcW w:w="770" w:type="pct"/>
            <w:noWrap w:val="0"/>
            <w:vAlign w:val="center"/>
          </w:tcPr>
          <w:p w14:paraId="5BDDC4F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5</w:t>
            </w:r>
          </w:p>
        </w:tc>
        <w:tc>
          <w:tcPr>
            <w:tcW w:w="713" w:type="pct"/>
            <w:noWrap w:val="0"/>
            <w:vAlign w:val="center"/>
          </w:tcPr>
          <w:p w14:paraId="18C998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w:t>
            </w:r>
          </w:p>
        </w:tc>
        <w:tc>
          <w:tcPr>
            <w:tcW w:w="565" w:type="pct"/>
            <w:noWrap w:val="0"/>
            <w:vAlign w:val="center"/>
          </w:tcPr>
          <w:p w14:paraId="2841DF9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2/次</w:t>
            </w:r>
          </w:p>
        </w:tc>
      </w:tr>
      <w:tr w14:paraId="4F63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217" w:type="pct"/>
            <w:noWrap w:val="0"/>
            <w:vAlign w:val="top"/>
          </w:tcPr>
          <w:p w14:paraId="6BB5A77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教学单位级</w:t>
            </w:r>
          </w:p>
        </w:tc>
        <w:tc>
          <w:tcPr>
            <w:tcW w:w="584" w:type="pct"/>
            <w:noWrap w:val="0"/>
            <w:vAlign w:val="center"/>
          </w:tcPr>
          <w:p w14:paraId="2DCF4F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6</w:t>
            </w:r>
          </w:p>
        </w:tc>
        <w:tc>
          <w:tcPr>
            <w:tcW w:w="591" w:type="pct"/>
            <w:noWrap w:val="0"/>
            <w:vAlign w:val="center"/>
          </w:tcPr>
          <w:p w14:paraId="5D999CD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5</w:t>
            </w:r>
          </w:p>
        </w:tc>
        <w:tc>
          <w:tcPr>
            <w:tcW w:w="557" w:type="pct"/>
            <w:noWrap w:val="0"/>
            <w:vAlign w:val="center"/>
          </w:tcPr>
          <w:p w14:paraId="327335A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4</w:t>
            </w:r>
          </w:p>
        </w:tc>
        <w:tc>
          <w:tcPr>
            <w:tcW w:w="770" w:type="pct"/>
            <w:noWrap w:val="0"/>
            <w:vAlign w:val="center"/>
          </w:tcPr>
          <w:p w14:paraId="4CAC276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w:t>
            </w:r>
          </w:p>
        </w:tc>
        <w:tc>
          <w:tcPr>
            <w:tcW w:w="713" w:type="pct"/>
            <w:noWrap w:val="0"/>
            <w:vAlign w:val="center"/>
          </w:tcPr>
          <w:p w14:paraId="7D4598D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w:t>
            </w:r>
          </w:p>
        </w:tc>
        <w:tc>
          <w:tcPr>
            <w:tcW w:w="565" w:type="pct"/>
            <w:noWrap w:val="0"/>
            <w:vAlign w:val="center"/>
          </w:tcPr>
          <w:p w14:paraId="24E575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1/次</w:t>
            </w:r>
          </w:p>
        </w:tc>
      </w:tr>
    </w:tbl>
    <w:p w14:paraId="74001AD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color w:val="auto"/>
          <w:sz w:val="24"/>
          <w:szCs w:val="24"/>
        </w:rPr>
      </w:pPr>
      <w:r>
        <w:rPr>
          <w:rFonts w:hint="eastAsia" w:ascii="宋体" w:hAnsi="宋体"/>
          <w:color w:val="auto"/>
          <w:sz w:val="24"/>
          <w:szCs w:val="24"/>
        </w:rPr>
        <w:t>5.表彰奖励加分</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6503"/>
        <w:gridCol w:w="1059"/>
      </w:tblGrid>
      <w:tr w14:paraId="2857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63" w:type="pct"/>
            <w:noWrap w:val="0"/>
            <w:vAlign w:val="center"/>
          </w:tcPr>
          <w:p w14:paraId="6A6693F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r>
              <w:rPr>
                <w:rFonts w:hint="eastAsia" w:ascii="宋体" w:hAnsi="宋体"/>
                <w:b/>
                <w:bCs/>
                <w:color w:val="auto"/>
                <w:szCs w:val="21"/>
              </w:rPr>
              <w:t>级别</w:t>
            </w:r>
          </w:p>
        </w:tc>
        <w:tc>
          <w:tcPr>
            <w:tcW w:w="3814" w:type="pct"/>
            <w:noWrap w:val="0"/>
            <w:vAlign w:val="center"/>
          </w:tcPr>
          <w:p w14:paraId="40005AC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表彰项目</w:t>
            </w:r>
          </w:p>
        </w:tc>
        <w:tc>
          <w:tcPr>
            <w:tcW w:w="621" w:type="pct"/>
            <w:noWrap w:val="0"/>
            <w:vAlign w:val="center"/>
          </w:tcPr>
          <w:p w14:paraId="6E1CD31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bCs/>
                <w:color w:val="auto"/>
                <w:szCs w:val="21"/>
              </w:rPr>
            </w:pPr>
            <w:r>
              <w:rPr>
                <w:rFonts w:hint="eastAsia" w:ascii="宋体" w:hAnsi="宋体"/>
                <w:b/>
                <w:bCs/>
                <w:color w:val="auto"/>
                <w:szCs w:val="21"/>
              </w:rPr>
              <w:t>加分值</w:t>
            </w:r>
          </w:p>
        </w:tc>
      </w:tr>
      <w:tr w14:paraId="3D84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noWrap w:val="0"/>
            <w:vAlign w:val="center"/>
          </w:tcPr>
          <w:p w14:paraId="3BB3928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国家级</w:t>
            </w:r>
          </w:p>
        </w:tc>
        <w:tc>
          <w:tcPr>
            <w:tcW w:w="3814" w:type="pct"/>
            <w:noWrap w:val="0"/>
            <w:vAlign w:val="top"/>
          </w:tcPr>
          <w:p w14:paraId="088C8E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三好学生、优秀团员、优秀学生干部、优秀团干部、优秀毕业生</w:t>
            </w:r>
          </w:p>
        </w:tc>
        <w:tc>
          <w:tcPr>
            <w:tcW w:w="621" w:type="pct"/>
            <w:noWrap w:val="0"/>
            <w:vAlign w:val="center"/>
          </w:tcPr>
          <w:p w14:paraId="206BEBB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16</w:t>
            </w:r>
          </w:p>
        </w:tc>
      </w:tr>
      <w:tr w14:paraId="6EBB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63" w:type="pct"/>
            <w:vMerge w:val="continue"/>
            <w:noWrap w:val="0"/>
            <w:vAlign w:val="center"/>
          </w:tcPr>
          <w:p w14:paraId="284902B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p>
        </w:tc>
        <w:tc>
          <w:tcPr>
            <w:tcW w:w="3814" w:type="pct"/>
            <w:noWrap w:val="0"/>
            <w:vAlign w:val="center"/>
          </w:tcPr>
          <w:p w14:paraId="46CEB2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其他个人奖</w:t>
            </w:r>
          </w:p>
        </w:tc>
        <w:tc>
          <w:tcPr>
            <w:tcW w:w="621" w:type="pct"/>
            <w:noWrap w:val="0"/>
            <w:vAlign w:val="center"/>
          </w:tcPr>
          <w:p w14:paraId="116A583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r>
      <w:tr w14:paraId="2CBC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noWrap w:val="0"/>
            <w:vAlign w:val="center"/>
          </w:tcPr>
          <w:p w14:paraId="3F3AC4A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p>
        </w:tc>
        <w:tc>
          <w:tcPr>
            <w:tcW w:w="3814" w:type="pct"/>
            <w:noWrap w:val="0"/>
            <w:vAlign w:val="top"/>
          </w:tcPr>
          <w:p w14:paraId="476FB39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以班级为单位获得的集体奖</w:t>
            </w:r>
          </w:p>
        </w:tc>
        <w:tc>
          <w:tcPr>
            <w:tcW w:w="621" w:type="pct"/>
            <w:noWrap w:val="0"/>
            <w:vAlign w:val="center"/>
          </w:tcPr>
          <w:p w14:paraId="76A9DCF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6</w:t>
            </w:r>
          </w:p>
        </w:tc>
      </w:tr>
      <w:tr w14:paraId="701D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noWrap w:val="0"/>
            <w:vAlign w:val="center"/>
          </w:tcPr>
          <w:p w14:paraId="7308F1D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省部级</w:t>
            </w:r>
          </w:p>
        </w:tc>
        <w:tc>
          <w:tcPr>
            <w:tcW w:w="3814" w:type="pct"/>
            <w:noWrap w:val="0"/>
            <w:vAlign w:val="top"/>
          </w:tcPr>
          <w:p w14:paraId="7CA4EB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三好学生、优秀团员、优秀学生干部、优秀团干部、优秀毕业生</w:t>
            </w:r>
          </w:p>
        </w:tc>
        <w:tc>
          <w:tcPr>
            <w:tcW w:w="621" w:type="pct"/>
            <w:noWrap w:val="0"/>
            <w:vAlign w:val="center"/>
          </w:tcPr>
          <w:p w14:paraId="12C3D22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12</w:t>
            </w:r>
          </w:p>
        </w:tc>
      </w:tr>
      <w:tr w14:paraId="0B06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noWrap w:val="0"/>
            <w:vAlign w:val="center"/>
          </w:tcPr>
          <w:p w14:paraId="3DE4240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p>
        </w:tc>
        <w:tc>
          <w:tcPr>
            <w:tcW w:w="3814" w:type="pct"/>
            <w:noWrap w:val="0"/>
            <w:vAlign w:val="top"/>
          </w:tcPr>
          <w:p w14:paraId="1DF226C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其他个人奖</w:t>
            </w:r>
          </w:p>
        </w:tc>
        <w:tc>
          <w:tcPr>
            <w:tcW w:w="621" w:type="pct"/>
            <w:noWrap w:val="0"/>
            <w:vAlign w:val="center"/>
          </w:tcPr>
          <w:p w14:paraId="601EABD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6</w:t>
            </w:r>
          </w:p>
        </w:tc>
      </w:tr>
      <w:tr w14:paraId="7AB7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noWrap w:val="0"/>
            <w:vAlign w:val="center"/>
          </w:tcPr>
          <w:p w14:paraId="5EB3C3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p>
        </w:tc>
        <w:tc>
          <w:tcPr>
            <w:tcW w:w="3814" w:type="pct"/>
            <w:noWrap w:val="0"/>
            <w:vAlign w:val="top"/>
          </w:tcPr>
          <w:p w14:paraId="3B63947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以班级为单位获得的集体奖</w:t>
            </w:r>
          </w:p>
        </w:tc>
        <w:tc>
          <w:tcPr>
            <w:tcW w:w="621" w:type="pct"/>
            <w:noWrap w:val="0"/>
            <w:vAlign w:val="center"/>
          </w:tcPr>
          <w:p w14:paraId="5F6616F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5</w:t>
            </w:r>
          </w:p>
        </w:tc>
      </w:tr>
      <w:tr w14:paraId="568B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noWrap w:val="0"/>
            <w:vAlign w:val="center"/>
          </w:tcPr>
          <w:p w14:paraId="5E7447A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市校级</w:t>
            </w:r>
          </w:p>
        </w:tc>
        <w:tc>
          <w:tcPr>
            <w:tcW w:w="3814" w:type="pct"/>
            <w:noWrap w:val="0"/>
            <w:vAlign w:val="top"/>
          </w:tcPr>
          <w:p w14:paraId="3FDC69E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三好学生、优秀团员、优秀学生干部、优秀团干部</w:t>
            </w:r>
          </w:p>
        </w:tc>
        <w:tc>
          <w:tcPr>
            <w:tcW w:w="621" w:type="pct"/>
            <w:noWrap w:val="0"/>
            <w:vAlign w:val="center"/>
          </w:tcPr>
          <w:p w14:paraId="5DD5C35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8</w:t>
            </w:r>
          </w:p>
        </w:tc>
      </w:tr>
      <w:tr w14:paraId="1A71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noWrap w:val="0"/>
            <w:vAlign w:val="center"/>
          </w:tcPr>
          <w:p w14:paraId="5B8AA88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p>
        </w:tc>
        <w:tc>
          <w:tcPr>
            <w:tcW w:w="3814" w:type="pct"/>
            <w:noWrap w:val="0"/>
            <w:vAlign w:val="top"/>
          </w:tcPr>
          <w:p w14:paraId="0B95C4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其他个人奖</w:t>
            </w:r>
          </w:p>
        </w:tc>
        <w:tc>
          <w:tcPr>
            <w:tcW w:w="621" w:type="pct"/>
            <w:noWrap w:val="0"/>
            <w:vAlign w:val="center"/>
          </w:tcPr>
          <w:p w14:paraId="09A59C9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4</w:t>
            </w:r>
          </w:p>
        </w:tc>
      </w:tr>
      <w:tr w14:paraId="5CF0A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noWrap w:val="0"/>
            <w:vAlign w:val="center"/>
          </w:tcPr>
          <w:p w14:paraId="1F587B4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p>
        </w:tc>
        <w:tc>
          <w:tcPr>
            <w:tcW w:w="3814" w:type="pct"/>
            <w:noWrap w:val="0"/>
            <w:vAlign w:val="top"/>
          </w:tcPr>
          <w:p w14:paraId="7104F0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以班级为单位获得的集体奖</w:t>
            </w:r>
          </w:p>
        </w:tc>
        <w:tc>
          <w:tcPr>
            <w:tcW w:w="621" w:type="pct"/>
            <w:noWrap w:val="0"/>
            <w:vAlign w:val="center"/>
          </w:tcPr>
          <w:p w14:paraId="19D93F8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3</w:t>
            </w:r>
          </w:p>
        </w:tc>
      </w:tr>
      <w:tr w14:paraId="17A2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restart"/>
            <w:noWrap w:val="0"/>
            <w:vAlign w:val="center"/>
          </w:tcPr>
          <w:p w14:paraId="7997B15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教学单位级</w:t>
            </w:r>
          </w:p>
        </w:tc>
        <w:tc>
          <w:tcPr>
            <w:tcW w:w="3814" w:type="pct"/>
            <w:noWrap w:val="0"/>
            <w:vAlign w:val="top"/>
          </w:tcPr>
          <w:p w14:paraId="4CCF09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各类个人奖</w:t>
            </w:r>
          </w:p>
        </w:tc>
        <w:tc>
          <w:tcPr>
            <w:tcW w:w="621" w:type="pct"/>
            <w:noWrap w:val="0"/>
            <w:vAlign w:val="center"/>
          </w:tcPr>
          <w:p w14:paraId="699664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2</w:t>
            </w:r>
          </w:p>
        </w:tc>
      </w:tr>
      <w:tr w14:paraId="19BAD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3" w:type="pct"/>
            <w:vMerge w:val="continue"/>
            <w:noWrap w:val="0"/>
            <w:vAlign w:val="top"/>
          </w:tcPr>
          <w:p w14:paraId="4589F95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b/>
                <w:color w:val="auto"/>
                <w:szCs w:val="21"/>
              </w:rPr>
            </w:pPr>
          </w:p>
        </w:tc>
        <w:tc>
          <w:tcPr>
            <w:tcW w:w="3814" w:type="pct"/>
            <w:noWrap w:val="0"/>
            <w:vAlign w:val="top"/>
          </w:tcPr>
          <w:p w14:paraId="760CDB6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以班级为单位获得的集体奖</w:t>
            </w:r>
          </w:p>
        </w:tc>
        <w:tc>
          <w:tcPr>
            <w:tcW w:w="621" w:type="pct"/>
            <w:noWrap w:val="0"/>
            <w:vAlign w:val="center"/>
          </w:tcPr>
          <w:p w14:paraId="5D85BA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olor w:val="auto"/>
                <w:szCs w:val="21"/>
              </w:rPr>
            </w:pPr>
            <w:r>
              <w:rPr>
                <w:rFonts w:hint="eastAsia" w:ascii="宋体" w:hAnsi="宋体"/>
                <w:color w:val="auto"/>
                <w:szCs w:val="21"/>
              </w:rPr>
              <w:t>1</w:t>
            </w:r>
          </w:p>
        </w:tc>
      </w:tr>
    </w:tbl>
    <w:p w14:paraId="23384CA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说明：带有助学性质的奖励不在加分之列（如国家助学金、社会资助类奖学金等）。以班级为单位获得集体奖的，班级每人按加分值标准加分。</w:t>
      </w:r>
    </w:p>
    <w:p w14:paraId="5B33ED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olor w:val="auto"/>
          <w:sz w:val="24"/>
          <w:szCs w:val="24"/>
        </w:rPr>
      </w:pPr>
      <w:r>
        <w:rPr>
          <w:rFonts w:hint="eastAsia" w:ascii="宋体" w:hAnsi="宋体"/>
          <w:color w:val="auto"/>
          <w:sz w:val="24"/>
          <w:szCs w:val="24"/>
        </w:rPr>
        <w:t>6.其他经教学单位认可的，可酌情加1-2分（最高不超过2分）。</w:t>
      </w:r>
    </w:p>
    <w:p w14:paraId="54EA3F8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（三）能力减分</w:t>
      </w:r>
    </w:p>
    <w:p w14:paraId="3746F34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1.无故不参加学校或教学单位安排的各类活动者，减5分/次。</w:t>
      </w:r>
    </w:p>
    <w:p w14:paraId="3CEFB4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2.参加社会实践、创新创业项目等活动无故放弃者，减5分/次。</w:t>
      </w:r>
    </w:p>
    <w:p w14:paraId="484A0EC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s="楷体_GB2312"/>
          <w:b/>
          <w:bCs/>
          <w:color w:val="auto"/>
          <w:sz w:val="24"/>
          <w:szCs w:val="24"/>
        </w:rPr>
      </w:pPr>
      <w:r>
        <w:rPr>
          <w:rFonts w:hint="eastAsia" w:ascii="宋体" w:hAnsi="宋体" w:cs="楷体_GB2312"/>
          <w:b/>
          <w:bCs/>
          <w:color w:val="auto"/>
          <w:sz w:val="24"/>
          <w:szCs w:val="24"/>
        </w:rPr>
        <w:t>（四）能力素质测评成绩的计算方法</w:t>
      </w:r>
    </w:p>
    <w:p w14:paraId="396B57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能力素质测评成绩=基础分+应加分-应减分</w:t>
      </w:r>
    </w:p>
    <w:p w14:paraId="0D5264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能力素质测评分超过100分的按100分计。</w:t>
      </w:r>
    </w:p>
    <w:p w14:paraId="758D16C9">
      <w:pPr>
        <w:pStyle w:val="2"/>
        <w:keepNext w:val="0"/>
        <w:keepLines w:val="0"/>
        <w:pageBreakBefore w:val="0"/>
        <w:widowControl w:val="0"/>
        <w:kinsoku/>
        <w:wordWrap/>
        <w:overflowPunct/>
        <w:topLinePunct w:val="0"/>
        <w:autoSpaceDE/>
        <w:autoSpaceDN/>
        <w:bidi w:val="0"/>
        <w:adjustRightInd/>
        <w:snapToGrid/>
        <w:textAlignment w:val="auto"/>
        <w:rPr>
          <w:rFonts w:hint="eastAsia"/>
          <w:color w:val="auto"/>
        </w:rPr>
      </w:pPr>
      <w:r>
        <w:rPr>
          <w:rFonts w:hint="eastAsia"/>
          <w:color w:val="auto"/>
        </w:rPr>
        <w:t>第三章  组织实施</w:t>
      </w:r>
    </w:p>
    <w:p w14:paraId="6FD5FE1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第十一条</w:t>
      </w:r>
      <w:r>
        <w:rPr>
          <w:rFonts w:hint="eastAsia" w:ascii="宋体" w:hAnsi="宋体"/>
          <w:color w:val="auto"/>
          <w:sz w:val="24"/>
          <w:szCs w:val="24"/>
        </w:rPr>
        <w:t xml:space="preserve">  测评的组织</w:t>
      </w:r>
    </w:p>
    <w:p w14:paraId="483A503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一）学校成立学生综合素质测评工作领导小组，统筹安排全校学生综合素质测评工作；各教学单位成立以主管学生工作的负责人、主管教学的负责人为主要成员，不少于5人的工作小组，负责本教学单位学生综合素质测评工作的具体实施。</w:t>
      </w:r>
    </w:p>
    <w:p w14:paraId="484FB9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二）辅导员（班主任）为学生综合素质测评工作的直接责任人，参与并指导做好学生日常行为表现的记录及测评工作的实施。各班级成立由辅导员（班主任）、班干部和学生代表组成的班级测评小组（人数在7人以上且为单数，其中学生代表不少于50%），具体负责本班学生综合素质测评工作，担任测评小组成员的班干部和学生代表必须经班会讨论通过。</w:t>
      </w:r>
    </w:p>
    <w:p w14:paraId="0C9B044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（三）学生综合素质测评以班级为单位每学年进行一次，由各教学单位主管学生工作的书记（负责人）在下一学年第二或第三周统一组织安排完成。</w:t>
      </w:r>
    </w:p>
    <w:p w14:paraId="5F66952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rPr>
      </w:pPr>
      <w:r>
        <w:rPr>
          <w:rFonts w:hint="eastAsia" w:ascii="宋体" w:hAnsi="宋体"/>
          <w:color w:val="auto"/>
          <w:sz w:val="24"/>
          <w:szCs w:val="24"/>
        </w:rPr>
        <w:t>（四）为确保测评客观、真实、全面反映学生实际情况，各教学单位应建立健全学生平时表现登记制度，由辅导员(班主任)、学生干部搜集记录学生平时表现的原始材料。</w:t>
      </w:r>
    </w:p>
    <w:p w14:paraId="3924D66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第十二条</w:t>
      </w:r>
      <w:r>
        <w:rPr>
          <w:rFonts w:hint="eastAsia" w:ascii="宋体" w:hAnsi="宋体"/>
          <w:color w:val="auto"/>
          <w:sz w:val="24"/>
          <w:szCs w:val="24"/>
        </w:rPr>
        <w:t xml:space="preserve">  测评的步骤</w:t>
      </w:r>
    </w:p>
    <w:p w14:paraId="6900CB7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（一）测评。</w:t>
      </w:r>
      <w:r>
        <w:rPr>
          <w:rFonts w:hint="eastAsia" w:ascii="宋体" w:hAnsi="宋体"/>
          <w:color w:val="auto"/>
          <w:sz w:val="24"/>
          <w:szCs w:val="24"/>
        </w:rPr>
        <w:t>各班测评小组要认真履行职责，在辅导员（兼职辅导员）的组织下根据本办法及学生就加分项目提供的本人参加活动的材料或获奖证明对班级每一位学生进行评分。</w:t>
      </w:r>
    </w:p>
    <w:p w14:paraId="61B9287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（二）审核。</w:t>
      </w:r>
      <w:r>
        <w:rPr>
          <w:rFonts w:hint="eastAsia" w:ascii="宋体" w:hAnsi="宋体"/>
          <w:color w:val="auto"/>
          <w:sz w:val="24"/>
          <w:szCs w:val="24"/>
        </w:rPr>
        <w:t>教学单位学生工作领导小组审核各班综合素质测评第一轮结果，并根据实际情况和本办法规定，对测评结果进行适当调整，同时填报《阜阳职业技术学院学生综合素质测评登记表》（附件1）。</w:t>
      </w:r>
    </w:p>
    <w:p w14:paraId="19EBE21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（三）公示。</w:t>
      </w:r>
      <w:r>
        <w:rPr>
          <w:rFonts w:hint="eastAsia" w:ascii="宋体" w:hAnsi="宋体"/>
          <w:color w:val="auto"/>
          <w:sz w:val="24"/>
          <w:szCs w:val="24"/>
        </w:rPr>
        <w:t>以适当方式向本班级每个学生公布测评结果，听取意见，并在教学单位信息公开栏张贴公示。公示期不少于3个工作日。</w:t>
      </w:r>
    </w:p>
    <w:p w14:paraId="3014014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（四）备案。</w:t>
      </w:r>
      <w:r>
        <w:rPr>
          <w:rFonts w:hint="eastAsia" w:ascii="宋体" w:hAnsi="宋体"/>
          <w:color w:val="auto"/>
          <w:sz w:val="24"/>
          <w:szCs w:val="24"/>
        </w:rPr>
        <w:t>学生综合素质测评第二轮结果经教学单位学生工作领导小组审核后，加盖公章，报校学生处备案。测评原始材料由各教学单位妥善保存。</w:t>
      </w:r>
    </w:p>
    <w:p w14:paraId="02F2E55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bCs/>
          <w:color w:val="auto"/>
          <w:sz w:val="24"/>
          <w:szCs w:val="24"/>
        </w:rPr>
        <w:t>（五）审批。</w:t>
      </w:r>
      <w:r>
        <w:rPr>
          <w:rFonts w:hint="eastAsia" w:ascii="宋体" w:hAnsi="宋体"/>
          <w:color w:val="auto"/>
          <w:sz w:val="24"/>
          <w:szCs w:val="24"/>
        </w:rPr>
        <w:t>学校学生综合素质测评工作领导小组对各教学单位测评结果进行审批。</w:t>
      </w:r>
    </w:p>
    <w:p w14:paraId="57C95AE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第十三条</w:t>
      </w:r>
      <w:r>
        <w:rPr>
          <w:rFonts w:hint="eastAsia" w:ascii="宋体" w:hAnsi="宋体"/>
          <w:color w:val="auto"/>
          <w:sz w:val="24"/>
          <w:szCs w:val="24"/>
        </w:rPr>
        <w:t xml:space="preserve">  各教学单位要维护测评结果的权威性和严肃性，任何人不得擅自更改测评结果。如学生对自己或他人的测评结果提出质疑，辅导员（班主任）应做好审核核实工作。测评结果如有较大分歧，经教学单位学生工作领导小组同意，可由辅导员（班主任）主持召开测评小组会议进行复议。各教学单位学生工作领导小组负责受理学生对测评结果的投诉与质询，必要时校学生处可派人介入调查核实工作。</w:t>
      </w:r>
    </w:p>
    <w:p w14:paraId="5952035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 xml:space="preserve">第十四条  </w:t>
      </w:r>
      <w:r>
        <w:rPr>
          <w:rFonts w:hint="eastAsia" w:ascii="宋体" w:hAnsi="宋体"/>
          <w:color w:val="auto"/>
          <w:sz w:val="24"/>
          <w:szCs w:val="24"/>
        </w:rPr>
        <w:t>参加测评的学生，凡有弄虚作假、徇私舞弊的，不论何时发现，一经查实，一律取消其参加当年评奖评优资格或取消其被授予的荣誉称号并追缴所发奖金，同时视情况给予相应的纪律处分。</w:t>
      </w:r>
    </w:p>
    <w:p w14:paraId="04918C89">
      <w:pPr>
        <w:pStyle w:val="2"/>
        <w:rPr>
          <w:rFonts w:hint="eastAsia"/>
          <w:color w:val="auto"/>
        </w:rPr>
      </w:pPr>
      <w:r>
        <w:rPr>
          <w:rFonts w:hint="eastAsia"/>
          <w:color w:val="auto"/>
        </w:rPr>
        <w:t>第四章  附则</w:t>
      </w:r>
    </w:p>
    <w:p w14:paraId="2D43AFA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第十五条</w:t>
      </w:r>
      <w:r>
        <w:rPr>
          <w:rFonts w:hint="eastAsia" w:ascii="宋体" w:hAnsi="宋体"/>
          <w:color w:val="auto"/>
          <w:sz w:val="24"/>
          <w:szCs w:val="24"/>
        </w:rPr>
        <w:t xml:space="preserve">  本办法自印发之日起施行，原《阜阳职业技术学院学生综合素质教育及考核实施办法》（阜职院</w:t>
      </w:r>
      <w:r>
        <w:rPr>
          <w:rFonts w:hint="eastAsia" w:ascii="宋体" w:hAnsi="宋体" w:cs="宋体"/>
          <w:color w:val="auto"/>
          <w:sz w:val="24"/>
          <w:szCs w:val="24"/>
        </w:rPr>
        <w:t>〔</w:t>
      </w:r>
      <w:r>
        <w:rPr>
          <w:rFonts w:hint="eastAsia" w:ascii="宋体" w:hAnsi="宋体"/>
          <w:color w:val="auto"/>
          <w:sz w:val="24"/>
          <w:szCs w:val="24"/>
        </w:rPr>
        <w:t>2017</w:t>
      </w:r>
      <w:r>
        <w:rPr>
          <w:rFonts w:hint="eastAsia" w:ascii="宋体" w:hAnsi="宋体" w:cs="宋体"/>
          <w:color w:val="auto"/>
          <w:sz w:val="24"/>
          <w:szCs w:val="24"/>
        </w:rPr>
        <w:t>〕</w:t>
      </w:r>
      <w:r>
        <w:rPr>
          <w:rFonts w:hint="eastAsia" w:ascii="宋体" w:hAnsi="宋体"/>
          <w:color w:val="auto"/>
          <w:sz w:val="24"/>
          <w:szCs w:val="24"/>
        </w:rPr>
        <w:t>113号）同时废止。</w:t>
      </w:r>
    </w:p>
    <w:p w14:paraId="5F94FB9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color w:val="auto"/>
          <w:sz w:val="24"/>
          <w:szCs w:val="24"/>
        </w:rPr>
      </w:pPr>
      <w:r>
        <w:rPr>
          <w:rFonts w:hint="eastAsia" w:ascii="宋体" w:hAnsi="宋体"/>
          <w:b/>
          <w:color w:val="auto"/>
          <w:sz w:val="24"/>
          <w:szCs w:val="24"/>
        </w:rPr>
        <w:t>第十六条</w:t>
      </w:r>
      <w:r>
        <w:rPr>
          <w:rFonts w:hint="eastAsia" w:ascii="宋体" w:hAnsi="宋体"/>
          <w:color w:val="auto"/>
          <w:sz w:val="24"/>
          <w:szCs w:val="24"/>
        </w:rPr>
        <w:t xml:space="preserve">  本办法由学生工作处负责解释。</w:t>
      </w:r>
    </w:p>
    <w:p w14:paraId="64FE9BB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5252D9"/>
    <w:rsid w:val="006913DC"/>
    <w:rsid w:val="00992BAC"/>
    <w:rsid w:val="015F3931"/>
    <w:rsid w:val="02BD730D"/>
    <w:rsid w:val="030E55EB"/>
    <w:rsid w:val="03377393"/>
    <w:rsid w:val="039E28CB"/>
    <w:rsid w:val="03B31B56"/>
    <w:rsid w:val="048521A7"/>
    <w:rsid w:val="051263CA"/>
    <w:rsid w:val="052D3AC4"/>
    <w:rsid w:val="05E0583A"/>
    <w:rsid w:val="0628576A"/>
    <w:rsid w:val="069F7121"/>
    <w:rsid w:val="06D517D1"/>
    <w:rsid w:val="077642C8"/>
    <w:rsid w:val="08130769"/>
    <w:rsid w:val="08283C1C"/>
    <w:rsid w:val="086E753E"/>
    <w:rsid w:val="090A0E11"/>
    <w:rsid w:val="09FD0EBE"/>
    <w:rsid w:val="0A385456"/>
    <w:rsid w:val="0A5B7951"/>
    <w:rsid w:val="0AB25A1E"/>
    <w:rsid w:val="0AF267DF"/>
    <w:rsid w:val="0B0550D6"/>
    <w:rsid w:val="0B14671F"/>
    <w:rsid w:val="0C0041B6"/>
    <w:rsid w:val="0C5A2866"/>
    <w:rsid w:val="0CEE3490"/>
    <w:rsid w:val="0D5252D9"/>
    <w:rsid w:val="0E7346C0"/>
    <w:rsid w:val="0F22488A"/>
    <w:rsid w:val="0F607805"/>
    <w:rsid w:val="0FC04DE7"/>
    <w:rsid w:val="10453726"/>
    <w:rsid w:val="10627504"/>
    <w:rsid w:val="11334E8E"/>
    <w:rsid w:val="11367E34"/>
    <w:rsid w:val="12077AC9"/>
    <w:rsid w:val="12756A26"/>
    <w:rsid w:val="12797CB6"/>
    <w:rsid w:val="13464A14"/>
    <w:rsid w:val="13677648"/>
    <w:rsid w:val="13DE03D9"/>
    <w:rsid w:val="13FA4416"/>
    <w:rsid w:val="140A20E5"/>
    <w:rsid w:val="144237D4"/>
    <w:rsid w:val="14727494"/>
    <w:rsid w:val="14D70565"/>
    <w:rsid w:val="15040BA3"/>
    <w:rsid w:val="16353A34"/>
    <w:rsid w:val="169E47B3"/>
    <w:rsid w:val="17187BCD"/>
    <w:rsid w:val="180F0C7F"/>
    <w:rsid w:val="19BA4580"/>
    <w:rsid w:val="1ACB3940"/>
    <w:rsid w:val="1B7F7ACE"/>
    <w:rsid w:val="1C250018"/>
    <w:rsid w:val="1C3C52D5"/>
    <w:rsid w:val="1C540827"/>
    <w:rsid w:val="1CE53E95"/>
    <w:rsid w:val="1D440FFD"/>
    <w:rsid w:val="1D517D72"/>
    <w:rsid w:val="1E0759FF"/>
    <w:rsid w:val="1E664DD1"/>
    <w:rsid w:val="1F6D55DC"/>
    <w:rsid w:val="1FF928C3"/>
    <w:rsid w:val="2020348E"/>
    <w:rsid w:val="20354D7C"/>
    <w:rsid w:val="21F1395A"/>
    <w:rsid w:val="229237EA"/>
    <w:rsid w:val="23396337"/>
    <w:rsid w:val="23613DB7"/>
    <w:rsid w:val="23625629"/>
    <w:rsid w:val="237C4C18"/>
    <w:rsid w:val="2529794C"/>
    <w:rsid w:val="25731609"/>
    <w:rsid w:val="259F6B41"/>
    <w:rsid w:val="25EA09BF"/>
    <w:rsid w:val="261B0A62"/>
    <w:rsid w:val="27100B33"/>
    <w:rsid w:val="27C4232F"/>
    <w:rsid w:val="283E7751"/>
    <w:rsid w:val="297A024A"/>
    <w:rsid w:val="299F1066"/>
    <w:rsid w:val="2B0A6A65"/>
    <w:rsid w:val="2B9A5AAF"/>
    <w:rsid w:val="2CA23268"/>
    <w:rsid w:val="2CF501AE"/>
    <w:rsid w:val="2DBD65C1"/>
    <w:rsid w:val="2E1F1990"/>
    <w:rsid w:val="2E216283"/>
    <w:rsid w:val="2E9B7C06"/>
    <w:rsid w:val="2F9C0F76"/>
    <w:rsid w:val="2F9C1C93"/>
    <w:rsid w:val="2FE65404"/>
    <w:rsid w:val="2FFC3C91"/>
    <w:rsid w:val="30DE74A0"/>
    <w:rsid w:val="31282FBD"/>
    <w:rsid w:val="31912695"/>
    <w:rsid w:val="31E64899"/>
    <w:rsid w:val="324E6612"/>
    <w:rsid w:val="32C91E04"/>
    <w:rsid w:val="32FB574C"/>
    <w:rsid w:val="331A586F"/>
    <w:rsid w:val="332455A8"/>
    <w:rsid w:val="35B86A5D"/>
    <w:rsid w:val="3631410C"/>
    <w:rsid w:val="36427923"/>
    <w:rsid w:val="36443FD2"/>
    <w:rsid w:val="365C5BF9"/>
    <w:rsid w:val="36F829F9"/>
    <w:rsid w:val="36FE4AC5"/>
    <w:rsid w:val="370F038A"/>
    <w:rsid w:val="38BE5911"/>
    <w:rsid w:val="39A92EBB"/>
    <w:rsid w:val="3A141644"/>
    <w:rsid w:val="3AE6125A"/>
    <w:rsid w:val="3B135598"/>
    <w:rsid w:val="3BB379EB"/>
    <w:rsid w:val="3C6D23D2"/>
    <w:rsid w:val="3C7F368F"/>
    <w:rsid w:val="3D507672"/>
    <w:rsid w:val="3D814B51"/>
    <w:rsid w:val="3D972462"/>
    <w:rsid w:val="3E774F1D"/>
    <w:rsid w:val="3E7C3447"/>
    <w:rsid w:val="3E824A07"/>
    <w:rsid w:val="3F3D0393"/>
    <w:rsid w:val="3F8A1BED"/>
    <w:rsid w:val="3F9373C9"/>
    <w:rsid w:val="3FE519E6"/>
    <w:rsid w:val="4032700E"/>
    <w:rsid w:val="41211048"/>
    <w:rsid w:val="4196729D"/>
    <w:rsid w:val="420B48BB"/>
    <w:rsid w:val="42A07BA2"/>
    <w:rsid w:val="42D70EA7"/>
    <w:rsid w:val="44926B46"/>
    <w:rsid w:val="454F4DD9"/>
    <w:rsid w:val="45DA1BC1"/>
    <w:rsid w:val="463961B8"/>
    <w:rsid w:val="47595BAA"/>
    <w:rsid w:val="47BE34F0"/>
    <w:rsid w:val="48A61AC4"/>
    <w:rsid w:val="490D2911"/>
    <w:rsid w:val="49172DE6"/>
    <w:rsid w:val="4A26123E"/>
    <w:rsid w:val="4A840D0F"/>
    <w:rsid w:val="4AE8204A"/>
    <w:rsid w:val="4B574CAC"/>
    <w:rsid w:val="4BBF255B"/>
    <w:rsid w:val="4BD23AA9"/>
    <w:rsid w:val="4C142FA5"/>
    <w:rsid w:val="4C3123B0"/>
    <w:rsid w:val="4C34322C"/>
    <w:rsid w:val="4C934D8D"/>
    <w:rsid w:val="4CEE1B38"/>
    <w:rsid w:val="4D365573"/>
    <w:rsid w:val="4D3A2B72"/>
    <w:rsid w:val="4D3D0369"/>
    <w:rsid w:val="4D552E93"/>
    <w:rsid w:val="4D5A56E0"/>
    <w:rsid w:val="4E387B91"/>
    <w:rsid w:val="4F143B91"/>
    <w:rsid w:val="4F2F4AB3"/>
    <w:rsid w:val="51A61F9E"/>
    <w:rsid w:val="51E27420"/>
    <w:rsid w:val="5228212C"/>
    <w:rsid w:val="52841EE4"/>
    <w:rsid w:val="52A96FAF"/>
    <w:rsid w:val="52B31B8A"/>
    <w:rsid w:val="534E7C97"/>
    <w:rsid w:val="535B59B6"/>
    <w:rsid w:val="54157894"/>
    <w:rsid w:val="55637C11"/>
    <w:rsid w:val="55931537"/>
    <w:rsid w:val="55B62744"/>
    <w:rsid w:val="561C59B9"/>
    <w:rsid w:val="5636549D"/>
    <w:rsid w:val="590C11D3"/>
    <w:rsid w:val="59C42A7D"/>
    <w:rsid w:val="59C547B3"/>
    <w:rsid w:val="5A6348B2"/>
    <w:rsid w:val="5AFF0748"/>
    <w:rsid w:val="5B670DD3"/>
    <w:rsid w:val="5B991F1B"/>
    <w:rsid w:val="5C7E34C8"/>
    <w:rsid w:val="5D020895"/>
    <w:rsid w:val="5D2B5B04"/>
    <w:rsid w:val="5D6232E9"/>
    <w:rsid w:val="5DFB3CDF"/>
    <w:rsid w:val="5F340340"/>
    <w:rsid w:val="5FB7460C"/>
    <w:rsid w:val="60947BBB"/>
    <w:rsid w:val="61060251"/>
    <w:rsid w:val="61C63418"/>
    <w:rsid w:val="62025BAD"/>
    <w:rsid w:val="62783AB3"/>
    <w:rsid w:val="630F1C76"/>
    <w:rsid w:val="633D41AD"/>
    <w:rsid w:val="644146BC"/>
    <w:rsid w:val="65675320"/>
    <w:rsid w:val="664F3398"/>
    <w:rsid w:val="66666487"/>
    <w:rsid w:val="67897755"/>
    <w:rsid w:val="67D17A15"/>
    <w:rsid w:val="68482B9F"/>
    <w:rsid w:val="68F0062D"/>
    <w:rsid w:val="69045A3B"/>
    <w:rsid w:val="69926371"/>
    <w:rsid w:val="699F0CF6"/>
    <w:rsid w:val="6A393976"/>
    <w:rsid w:val="6ACE1ED1"/>
    <w:rsid w:val="6ADC5D76"/>
    <w:rsid w:val="6B374476"/>
    <w:rsid w:val="6BD64953"/>
    <w:rsid w:val="6D2A6580"/>
    <w:rsid w:val="6D352F46"/>
    <w:rsid w:val="6ED605E1"/>
    <w:rsid w:val="6FDF4954"/>
    <w:rsid w:val="6FEE101B"/>
    <w:rsid w:val="70D71937"/>
    <w:rsid w:val="70F44372"/>
    <w:rsid w:val="71F4490A"/>
    <w:rsid w:val="72203FF6"/>
    <w:rsid w:val="72793D3A"/>
    <w:rsid w:val="73AC39C2"/>
    <w:rsid w:val="73B8240D"/>
    <w:rsid w:val="73C15BEB"/>
    <w:rsid w:val="74561C23"/>
    <w:rsid w:val="75393D07"/>
    <w:rsid w:val="7624631F"/>
    <w:rsid w:val="762E5EE4"/>
    <w:rsid w:val="76DC2716"/>
    <w:rsid w:val="76E95A7B"/>
    <w:rsid w:val="773E1BF8"/>
    <w:rsid w:val="77A16911"/>
    <w:rsid w:val="77E64877"/>
    <w:rsid w:val="78130509"/>
    <w:rsid w:val="78144E31"/>
    <w:rsid w:val="781B1F19"/>
    <w:rsid w:val="790E0EAC"/>
    <w:rsid w:val="79563D8F"/>
    <w:rsid w:val="79DD06B0"/>
    <w:rsid w:val="79F94692"/>
    <w:rsid w:val="7A0E41BA"/>
    <w:rsid w:val="7A353BF9"/>
    <w:rsid w:val="7A81787C"/>
    <w:rsid w:val="7AD353C1"/>
    <w:rsid w:val="7AF05EC5"/>
    <w:rsid w:val="7B0D7CDF"/>
    <w:rsid w:val="7BAC6B1E"/>
    <w:rsid w:val="7C303FA5"/>
    <w:rsid w:val="7C5B3AB6"/>
    <w:rsid w:val="7CD73372"/>
    <w:rsid w:val="7D222080"/>
    <w:rsid w:val="7D8C5969"/>
    <w:rsid w:val="7E116031"/>
    <w:rsid w:val="7FBD0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99"/>
    <w:pPr>
      <w:spacing w:before="240" w:after="60" w:line="312" w:lineRule="auto"/>
      <w:jc w:val="center"/>
      <w:outlineLvl w:val="1"/>
    </w:pPr>
    <w:rPr>
      <w:rFonts w:ascii="Cambria" w:hAnsi="Cambria" w:cs="宋体"/>
      <w:b/>
      <w:bCs/>
      <w:kern w:val="28"/>
      <w:sz w:val="32"/>
      <w:szCs w:val="32"/>
    </w:rPr>
  </w:style>
  <w:style w:type="paragraph" w:styleId="3">
    <w:name w:val="Title"/>
    <w:basedOn w:val="1"/>
    <w:next w:val="1"/>
    <w:qFormat/>
    <w:uiPriority w:val="99"/>
    <w:pPr>
      <w:spacing w:before="480" w:after="240"/>
      <w:jc w:val="center"/>
      <w:outlineLvl w:val="0"/>
    </w:pPr>
    <w:rPr>
      <w:rFonts w:ascii="Cambria" w:hAnsi="Cambria" w:cs="宋体"/>
      <w:b/>
      <w:bCs/>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2025-07-04T07:19:00Z</dcterms:created>
  <dc:creator>王颖慧</dc:creator>
  <cp:lastModifiedBy>王颖慧</cp:lastModifiedBy>
  <dcterms:modified xsi:type="dcterms:W3CDTF">2025-07-04T07:19:15Z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CC5D01FD572F4B138B5A1CB7F9823A9E_11</vt:lpwstr>
  </property>
  <property fmtid="{D5CDD505-2E9C-101B-9397-08002B2CF9AE}" pid="4" name="KSOTemplateDocerSaveRecord">
    <vt:lpwstr>eyJoZGlkIjoiYzg5YmQ3NTMyZTNmYjI5NDJhNmQ1NjdlMTVmOWQyMGQiLCJ1c2VySWQiOiIxNjg1MDAyNDQzIn0=</vt:lpwstr>
  </property>
</Properties>
</file>